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80F" w:rsidRPr="008969F2" w:rsidRDefault="006E3142" w:rsidP="00B27481">
      <w:pPr>
        <w:spacing w:before="120" w:after="120" w:line="360" w:lineRule="auto"/>
        <w:jc w:val="both"/>
        <w:rPr>
          <w:rFonts w:ascii="Arial" w:hAnsi="Arial" w:cs="Arial"/>
          <w:b/>
          <w:sz w:val="24"/>
          <w:szCs w:val="24"/>
        </w:rPr>
      </w:pPr>
      <w:bookmarkStart w:id="0" w:name="_GoBack"/>
      <w:bookmarkEnd w:id="0"/>
      <w:r w:rsidRPr="008969F2">
        <w:rPr>
          <w:rFonts w:ascii="Arial" w:hAnsi="Arial" w:cs="Arial"/>
          <w:b/>
          <w:sz w:val="24"/>
          <w:szCs w:val="24"/>
        </w:rPr>
        <w:t>I</w:t>
      </w:r>
      <w:r w:rsidR="0036380F" w:rsidRPr="008969F2">
        <w:rPr>
          <w:rFonts w:ascii="Arial" w:hAnsi="Arial" w:cs="Arial"/>
          <w:b/>
          <w:sz w:val="24"/>
          <w:szCs w:val="24"/>
        </w:rPr>
        <w:t>nstruç</w:t>
      </w:r>
      <w:r w:rsidR="008A590E" w:rsidRPr="008969F2">
        <w:rPr>
          <w:rFonts w:ascii="Arial" w:hAnsi="Arial" w:cs="Arial"/>
          <w:b/>
          <w:sz w:val="24"/>
          <w:szCs w:val="24"/>
        </w:rPr>
        <w:t>ões para</w:t>
      </w:r>
      <w:r w:rsidR="0036380F" w:rsidRPr="008969F2">
        <w:rPr>
          <w:rFonts w:ascii="Arial" w:hAnsi="Arial" w:cs="Arial"/>
          <w:b/>
          <w:sz w:val="24"/>
          <w:szCs w:val="24"/>
        </w:rPr>
        <w:t xml:space="preserve"> preenchimento do formulário:</w:t>
      </w:r>
    </w:p>
    <w:p w:rsidR="0036380F" w:rsidRPr="008969F2" w:rsidRDefault="0036380F" w:rsidP="00B27481">
      <w:pPr>
        <w:pStyle w:val="PargrafodaLista"/>
        <w:numPr>
          <w:ilvl w:val="0"/>
          <w:numId w:val="1"/>
        </w:numPr>
        <w:spacing w:before="120" w:after="120" w:line="360" w:lineRule="auto"/>
        <w:jc w:val="both"/>
        <w:rPr>
          <w:rFonts w:ascii="Arial" w:hAnsi="Arial" w:cs="Arial"/>
          <w:sz w:val="24"/>
          <w:szCs w:val="24"/>
        </w:rPr>
      </w:pPr>
      <w:r w:rsidRPr="008969F2">
        <w:rPr>
          <w:rFonts w:ascii="Arial" w:hAnsi="Arial" w:cs="Arial"/>
          <w:sz w:val="24"/>
          <w:szCs w:val="24"/>
        </w:rPr>
        <w:t xml:space="preserve">No campo </w:t>
      </w:r>
      <w:r w:rsidRPr="008969F2">
        <w:rPr>
          <w:rFonts w:ascii="Arial" w:hAnsi="Arial" w:cs="Arial"/>
          <w:sz w:val="24"/>
          <w:szCs w:val="24"/>
          <w:u w:val="single"/>
        </w:rPr>
        <w:t>Documento</w:t>
      </w:r>
      <w:r w:rsidRPr="008969F2">
        <w:rPr>
          <w:rFonts w:ascii="Arial" w:hAnsi="Arial" w:cs="Arial"/>
          <w:sz w:val="24"/>
          <w:szCs w:val="24"/>
        </w:rPr>
        <w:t xml:space="preserve">, deve ser especificado o instrumento licitatório para o qual </w:t>
      </w:r>
      <w:r w:rsidR="002158EA" w:rsidRPr="008969F2">
        <w:rPr>
          <w:rFonts w:ascii="Arial" w:hAnsi="Arial" w:cs="Arial"/>
          <w:sz w:val="24"/>
          <w:szCs w:val="24"/>
        </w:rPr>
        <w:t>está sendo sugerida</w:t>
      </w:r>
      <w:r w:rsidR="00EA1DC4" w:rsidRPr="008969F2">
        <w:rPr>
          <w:rFonts w:ascii="Arial" w:hAnsi="Arial" w:cs="Arial"/>
          <w:sz w:val="24"/>
          <w:szCs w:val="24"/>
        </w:rPr>
        <w:t xml:space="preserve"> </w:t>
      </w:r>
      <w:r w:rsidR="002158EA" w:rsidRPr="008969F2">
        <w:rPr>
          <w:rFonts w:ascii="Arial" w:hAnsi="Arial" w:cs="Arial"/>
          <w:sz w:val="24"/>
          <w:szCs w:val="24"/>
        </w:rPr>
        <w:t xml:space="preserve">modificação. </w:t>
      </w:r>
      <w:r w:rsidRPr="008969F2">
        <w:rPr>
          <w:rFonts w:ascii="Arial" w:hAnsi="Arial" w:cs="Arial"/>
          <w:sz w:val="24"/>
          <w:szCs w:val="24"/>
        </w:rPr>
        <w:t xml:space="preserve">Neste campo, </w:t>
      </w:r>
      <w:r w:rsidR="008A590E" w:rsidRPr="008969F2">
        <w:rPr>
          <w:rFonts w:ascii="Arial" w:hAnsi="Arial" w:cs="Arial"/>
          <w:sz w:val="24"/>
          <w:szCs w:val="24"/>
        </w:rPr>
        <w:t xml:space="preserve">deve-se </w:t>
      </w:r>
      <w:r w:rsidRPr="008969F2">
        <w:rPr>
          <w:rFonts w:ascii="Arial" w:hAnsi="Arial" w:cs="Arial"/>
          <w:sz w:val="24"/>
          <w:szCs w:val="24"/>
        </w:rPr>
        <w:t xml:space="preserve">digitar </w:t>
      </w:r>
      <w:r w:rsidR="008A590E" w:rsidRPr="008969F2">
        <w:rPr>
          <w:rFonts w:ascii="Arial" w:hAnsi="Arial" w:cs="Arial"/>
          <w:sz w:val="24"/>
          <w:szCs w:val="24"/>
        </w:rPr>
        <w:t xml:space="preserve">apenas </w:t>
      </w:r>
      <w:r w:rsidR="009403DB" w:rsidRPr="008969F2">
        <w:rPr>
          <w:rFonts w:ascii="Arial" w:hAnsi="Arial" w:cs="Arial"/>
          <w:sz w:val="24"/>
          <w:szCs w:val="24"/>
          <w:u w:val="single"/>
        </w:rPr>
        <w:t>p</w:t>
      </w:r>
      <w:r w:rsidR="008A590E" w:rsidRPr="008969F2">
        <w:rPr>
          <w:rFonts w:ascii="Arial" w:hAnsi="Arial" w:cs="Arial"/>
          <w:sz w:val="24"/>
          <w:szCs w:val="24"/>
          <w:u w:val="single"/>
        </w:rPr>
        <w:t>ré-e</w:t>
      </w:r>
      <w:r w:rsidRPr="008969F2">
        <w:rPr>
          <w:rFonts w:ascii="Arial" w:hAnsi="Arial" w:cs="Arial"/>
          <w:sz w:val="24"/>
          <w:szCs w:val="24"/>
          <w:u w:val="single"/>
        </w:rPr>
        <w:t>dital</w:t>
      </w:r>
      <w:r w:rsidRPr="008969F2">
        <w:rPr>
          <w:rFonts w:ascii="Arial" w:hAnsi="Arial" w:cs="Arial"/>
          <w:sz w:val="24"/>
          <w:szCs w:val="24"/>
        </w:rPr>
        <w:t xml:space="preserve"> ou </w:t>
      </w:r>
      <w:r w:rsidR="009403DB" w:rsidRPr="008969F2">
        <w:rPr>
          <w:rFonts w:ascii="Arial" w:hAnsi="Arial" w:cs="Arial"/>
          <w:sz w:val="24"/>
          <w:szCs w:val="24"/>
          <w:u w:val="single"/>
        </w:rPr>
        <w:t>m</w:t>
      </w:r>
      <w:r w:rsidR="008A590E" w:rsidRPr="008969F2">
        <w:rPr>
          <w:rFonts w:ascii="Arial" w:hAnsi="Arial" w:cs="Arial"/>
          <w:sz w:val="24"/>
          <w:szCs w:val="24"/>
          <w:u w:val="single"/>
        </w:rPr>
        <w:t>inuta do c</w:t>
      </w:r>
      <w:r w:rsidRPr="008969F2">
        <w:rPr>
          <w:rFonts w:ascii="Arial" w:hAnsi="Arial" w:cs="Arial"/>
          <w:sz w:val="24"/>
          <w:szCs w:val="24"/>
          <w:u w:val="single"/>
        </w:rPr>
        <w:t>ontrato</w:t>
      </w:r>
      <w:r w:rsidRPr="008969F2">
        <w:rPr>
          <w:rFonts w:ascii="Arial" w:hAnsi="Arial" w:cs="Arial"/>
          <w:sz w:val="24"/>
          <w:szCs w:val="24"/>
        </w:rPr>
        <w:t>;</w:t>
      </w:r>
    </w:p>
    <w:p w:rsidR="002158EA" w:rsidRPr="008969F2" w:rsidRDefault="002158EA" w:rsidP="00B27481">
      <w:pPr>
        <w:pStyle w:val="PargrafodaLista"/>
        <w:numPr>
          <w:ilvl w:val="0"/>
          <w:numId w:val="1"/>
        </w:numPr>
        <w:spacing w:before="120" w:after="120" w:line="360" w:lineRule="auto"/>
        <w:jc w:val="both"/>
        <w:rPr>
          <w:rFonts w:ascii="Arial" w:hAnsi="Arial" w:cs="Arial"/>
          <w:sz w:val="24"/>
          <w:szCs w:val="24"/>
        </w:rPr>
      </w:pPr>
      <w:r w:rsidRPr="008969F2">
        <w:rPr>
          <w:rFonts w:ascii="Arial" w:hAnsi="Arial" w:cs="Arial"/>
          <w:sz w:val="24"/>
          <w:szCs w:val="24"/>
        </w:rPr>
        <w:t xml:space="preserve">No campo </w:t>
      </w:r>
      <w:r w:rsidRPr="008969F2">
        <w:rPr>
          <w:rFonts w:ascii="Arial" w:hAnsi="Arial" w:cs="Arial"/>
          <w:sz w:val="24"/>
          <w:szCs w:val="24"/>
          <w:u w:val="single"/>
        </w:rPr>
        <w:t>Natureza da sugestão</w:t>
      </w:r>
      <w:r w:rsidR="00EA1DC4" w:rsidRPr="008969F2">
        <w:rPr>
          <w:rFonts w:ascii="Arial" w:hAnsi="Arial" w:cs="Arial"/>
          <w:sz w:val="24"/>
          <w:szCs w:val="24"/>
        </w:rPr>
        <w:t>, deve ser indicado</w:t>
      </w:r>
      <w:r w:rsidRPr="008969F2">
        <w:rPr>
          <w:rFonts w:ascii="Arial" w:hAnsi="Arial" w:cs="Arial"/>
          <w:sz w:val="24"/>
          <w:szCs w:val="24"/>
        </w:rPr>
        <w:t xml:space="preserve"> se a sugestão proposta é </w:t>
      </w:r>
      <w:r w:rsidR="006E7756" w:rsidRPr="008969F2">
        <w:rPr>
          <w:rFonts w:ascii="Arial" w:hAnsi="Arial" w:cs="Arial"/>
          <w:sz w:val="24"/>
          <w:szCs w:val="24"/>
        </w:rPr>
        <w:t xml:space="preserve">de </w:t>
      </w:r>
      <w:r w:rsidRPr="008969F2">
        <w:rPr>
          <w:rFonts w:ascii="Arial" w:hAnsi="Arial" w:cs="Arial"/>
          <w:sz w:val="24"/>
          <w:szCs w:val="24"/>
          <w:u w:val="single"/>
        </w:rPr>
        <w:t>Inclusão</w:t>
      </w:r>
      <w:r w:rsidRPr="008969F2">
        <w:rPr>
          <w:rFonts w:ascii="Arial" w:hAnsi="Arial" w:cs="Arial"/>
          <w:sz w:val="24"/>
          <w:szCs w:val="24"/>
        </w:rPr>
        <w:t xml:space="preserve">, </w:t>
      </w:r>
      <w:r w:rsidRPr="008969F2">
        <w:rPr>
          <w:rFonts w:ascii="Arial" w:hAnsi="Arial" w:cs="Arial"/>
          <w:sz w:val="24"/>
          <w:szCs w:val="24"/>
          <w:u w:val="single"/>
        </w:rPr>
        <w:t>Alteração</w:t>
      </w:r>
      <w:r w:rsidRPr="008969F2">
        <w:rPr>
          <w:rFonts w:ascii="Arial" w:hAnsi="Arial" w:cs="Arial"/>
          <w:sz w:val="24"/>
          <w:szCs w:val="24"/>
        </w:rPr>
        <w:t xml:space="preserve"> ou </w:t>
      </w:r>
      <w:r w:rsidRPr="008969F2">
        <w:rPr>
          <w:rFonts w:ascii="Arial" w:hAnsi="Arial" w:cs="Arial"/>
          <w:sz w:val="24"/>
          <w:szCs w:val="24"/>
          <w:u w:val="single"/>
        </w:rPr>
        <w:t>Exclusão</w:t>
      </w:r>
      <w:r w:rsidRPr="008969F2">
        <w:rPr>
          <w:rFonts w:ascii="Arial" w:hAnsi="Arial" w:cs="Arial"/>
          <w:sz w:val="24"/>
          <w:szCs w:val="24"/>
        </w:rPr>
        <w:t>;</w:t>
      </w:r>
    </w:p>
    <w:p w:rsidR="008A590E" w:rsidRPr="008969F2" w:rsidRDefault="0036380F" w:rsidP="00B27481">
      <w:pPr>
        <w:pStyle w:val="PargrafodaLista"/>
        <w:numPr>
          <w:ilvl w:val="0"/>
          <w:numId w:val="1"/>
        </w:numPr>
        <w:spacing w:before="120" w:after="120" w:line="360" w:lineRule="auto"/>
        <w:jc w:val="both"/>
        <w:rPr>
          <w:rFonts w:ascii="Arial" w:hAnsi="Arial" w:cs="Arial"/>
          <w:sz w:val="24"/>
          <w:szCs w:val="24"/>
        </w:rPr>
      </w:pPr>
      <w:r w:rsidRPr="008969F2">
        <w:rPr>
          <w:rFonts w:ascii="Arial" w:hAnsi="Arial" w:cs="Arial"/>
          <w:sz w:val="24"/>
          <w:szCs w:val="24"/>
        </w:rPr>
        <w:t xml:space="preserve">No campo </w:t>
      </w:r>
      <w:r w:rsidRPr="008969F2">
        <w:rPr>
          <w:rFonts w:ascii="Arial" w:hAnsi="Arial" w:cs="Arial"/>
          <w:sz w:val="24"/>
          <w:szCs w:val="24"/>
          <w:u w:val="single"/>
        </w:rPr>
        <w:t>Item</w:t>
      </w:r>
      <w:r w:rsidR="006E7756" w:rsidRPr="008969F2">
        <w:rPr>
          <w:rFonts w:ascii="Arial" w:hAnsi="Arial" w:cs="Arial"/>
          <w:sz w:val="24"/>
          <w:szCs w:val="24"/>
        </w:rPr>
        <w:t>, deve ser discriminado</w:t>
      </w:r>
      <w:r w:rsidRPr="008969F2">
        <w:rPr>
          <w:rFonts w:ascii="Arial" w:hAnsi="Arial" w:cs="Arial"/>
          <w:sz w:val="24"/>
          <w:szCs w:val="24"/>
        </w:rPr>
        <w:t xml:space="preserve"> </w:t>
      </w:r>
      <w:r w:rsidR="008A590E" w:rsidRPr="008969F2">
        <w:rPr>
          <w:rFonts w:ascii="Arial" w:hAnsi="Arial" w:cs="Arial"/>
          <w:sz w:val="24"/>
          <w:szCs w:val="24"/>
        </w:rPr>
        <w:t xml:space="preserve">o item do </w:t>
      </w:r>
      <w:r w:rsidR="009403DB" w:rsidRPr="008969F2">
        <w:rPr>
          <w:rFonts w:ascii="Arial" w:hAnsi="Arial" w:cs="Arial"/>
          <w:sz w:val="24"/>
          <w:szCs w:val="24"/>
        </w:rPr>
        <w:t>p</w:t>
      </w:r>
      <w:r w:rsidR="008A590E" w:rsidRPr="008969F2">
        <w:rPr>
          <w:rFonts w:ascii="Arial" w:hAnsi="Arial" w:cs="Arial"/>
          <w:sz w:val="24"/>
          <w:szCs w:val="24"/>
        </w:rPr>
        <w:t xml:space="preserve">ré-edital, ou a cláusula da </w:t>
      </w:r>
      <w:r w:rsidR="009403DB" w:rsidRPr="008969F2">
        <w:rPr>
          <w:rFonts w:ascii="Arial" w:hAnsi="Arial" w:cs="Arial"/>
          <w:sz w:val="24"/>
          <w:szCs w:val="24"/>
        </w:rPr>
        <w:t>m</w:t>
      </w:r>
      <w:r w:rsidR="008A590E" w:rsidRPr="008969F2">
        <w:rPr>
          <w:rFonts w:ascii="Arial" w:hAnsi="Arial" w:cs="Arial"/>
          <w:sz w:val="24"/>
          <w:szCs w:val="24"/>
        </w:rPr>
        <w:t xml:space="preserve">inuta do contrato, ou, ainda, o </w:t>
      </w:r>
      <w:r w:rsidR="009403DB" w:rsidRPr="008969F2">
        <w:rPr>
          <w:rFonts w:ascii="Arial" w:hAnsi="Arial" w:cs="Arial"/>
          <w:sz w:val="24"/>
          <w:szCs w:val="24"/>
        </w:rPr>
        <w:t>a</w:t>
      </w:r>
      <w:r w:rsidR="008A590E" w:rsidRPr="008969F2">
        <w:rPr>
          <w:rFonts w:ascii="Arial" w:hAnsi="Arial" w:cs="Arial"/>
          <w:sz w:val="24"/>
          <w:szCs w:val="24"/>
        </w:rPr>
        <w:t>nexo p</w:t>
      </w:r>
      <w:r w:rsidR="002158EA" w:rsidRPr="008969F2">
        <w:rPr>
          <w:rFonts w:ascii="Arial" w:hAnsi="Arial" w:cs="Arial"/>
          <w:sz w:val="24"/>
          <w:szCs w:val="24"/>
        </w:rPr>
        <w:t xml:space="preserve">ara o qual </w:t>
      </w:r>
      <w:r w:rsidR="00BA4C9C" w:rsidRPr="008969F2">
        <w:rPr>
          <w:rFonts w:ascii="Arial" w:hAnsi="Arial" w:cs="Arial"/>
          <w:sz w:val="24"/>
          <w:szCs w:val="24"/>
        </w:rPr>
        <w:t xml:space="preserve">está sendo sugerida modificação. </w:t>
      </w:r>
      <w:r w:rsidR="008A590E" w:rsidRPr="008969F2">
        <w:rPr>
          <w:rFonts w:ascii="Arial" w:hAnsi="Arial" w:cs="Arial"/>
          <w:sz w:val="24"/>
          <w:szCs w:val="24"/>
        </w:rPr>
        <w:t xml:space="preserve">Neste campo, deve-se digitar apenas o </w:t>
      </w:r>
      <w:r w:rsidR="008A590E" w:rsidRPr="008969F2">
        <w:rPr>
          <w:rFonts w:ascii="Arial" w:hAnsi="Arial" w:cs="Arial"/>
          <w:sz w:val="24"/>
          <w:szCs w:val="24"/>
          <w:u w:val="single"/>
        </w:rPr>
        <w:t>número do item</w:t>
      </w:r>
      <w:r w:rsidR="008A590E" w:rsidRPr="008969F2">
        <w:rPr>
          <w:rFonts w:ascii="Arial" w:hAnsi="Arial" w:cs="Arial"/>
          <w:sz w:val="24"/>
          <w:szCs w:val="24"/>
        </w:rPr>
        <w:t xml:space="preserve"> ou o </w:t>
      </w:r>
      <w:r w:rsidR="008A590E" w:rsidRPr="008969F2">
        <w:rPr>
          <w:rFonts w:ascii="Arial" w:hAnsi="Arial" w:cs="Arial"/>
          <w:sz w:val="24"/>
          <w:szCs w:val="24"/>
          <w:u w:val="single"/>
        </w:rPr>
        <w:t>número da cláusula</w:t>
      </w:r>
      <w:r w:rsidR="008A590E" w:rsidRPr="008969F2">
        <w:rPr>
          <w:rFonts w:ascii="Arial" w:hAnsi="Arial" w:cs="Arial"/>
          <w:sz w:val="24"/>
          <w:szCs w:val="24"/>
        </w:rPr>
        <w:t>, sem detalhar o seu título</w:t>
      </w:r>
      <w:r w:rsidR="000C7F3F" w:rsidRPr="008969F2">
        <w:rPr>
          <w:rFonts w:ascii="Arial" w:hAnsi="Arial" w:cs="Arial"/>
          <w:sz w:val="24"/>
          <w:szCs w:val="24"/>
        </w:rPr>
        <w:t>.</w:t>
      </w:r>
      <w:r w:rsidR="00264138" w:rsidRPr="008969F2">
        <w:rPr>
          <w:rFonts w:ascii="Arial" w:hAnsi="Arial" w:cs="Arial"/>
          <w:sz w:val="24"/>
          <w:szCs w:val="24"/>
        </w:rPr>
        <w:t xml:space="preserve"> No caso de sugestão à </w:t>
      </w:r>
      <w:r w:rsidR="009403DB" w:rsidRPr="008969F2">
        <w:rPr>
          <w:rFonts w:ascii="Arial" w:hAnsi="Arial" w:cs="Arial"/>
          <w:sz w:val="24"/>
          <w:szCs w:val="24"/>
        </w:rPr>
        <w:t>a</w:t>
      </w:r>
      <w:r w:rsidR="00264138" w:rsidRPr="008969F2">
        <w:rPr>
          <w:rFonts w:ascii="Arial" w:hAnsi="Arial" w:cs="Arial"/>
          <w:sz w:val="24"/>
          <w:szCs w:val="24"/>
        </w:rPr>
        <w:t xml:space="preserve">nexo, </w:t>
      </w:r>
      <w:r w:rsidR="00FB378C" w:rsidRPr="008969F2">
        <w:rPr>
          <w:rFonts w:ascii="Arial" w:hAnsi="Arial" w:cs="Arial"/>
          <w:sz w:val="24"/>
          <w:szCs w:val="24"/>
        </w:rPr>
        <w:t xml:space="preserve">deve-se </w:t>
      </w:r>
      <w:r w:rsidR="00264138" w:rsidRPr="008969F2">
        <w:rPr>
          <w:rFonts w:ascii="Arial" w:hAnsi="Arial" w:cs="Arial"/>
          <w:sz w:val="24"/>
          <w:szCs w:val="24"/>
        </w:rPr>
        <w:t xml:space="preserve">incluir o </w:t>
      </w:r>
      <w:r w:rsidR="00264138" w:rsidRPr="008969F2">
        <w:rPr>
          <w:rFonts w:ascii="Arial" w:hAnsi="Arial" w:cs="Arial"/>
          <w:sz w:val="24"/>
          <w:szCs w:val="24"/>
          <w:u w:val="single"/>
        </w:rPr>
        <w:t xml:space="preserve">número do </w:t>
      </w:r>
      <w:r w:rsidR="009403DB" w:rsidRPr="008969F2">
        <w:rPr>
          <w:rFonts w:ascii="Arial" w:hAnsi="Arial" w:cs="Arial"/>
          <w:sz w:val="24"/>
          <w:szCs w:val="24"/>
          <w:u w:val="single"/>
        </w:rPr>
        <w:t>a</w:t>
      </w:r>
      <w:r w:rsidR="00264138" w:rsidRPr="008969F2">
        <w:rPr>
          <w:rFonts w:ascii="Arial" w:hAnsi="Arial" w:cs="Arial"/>
          <w:sz w:val="24"/>
          <w:szCs w:val="24"/>
          <w:u w:val="single"/>
        </w:rPr>
        <w:t>nexo</w:t>
      </w:r>
      <w:r w:rsidR="00264138" w:rsidRPr="008969F2">
        <w:rPr>
          <w:rFonts w:ascii="Arial" w:hAnsi="Arial" w:cs="Arial"/>
          <w:sz w:val="24"/>
          <w:szCs w:val="24"/>
        </w:rPr>
        <w:t xml:space="preserve"> e o </w:t>
      </w:r>
      <w:r w:rsidR="00264138" w:rsidRPr="008969F2">
        <w:rPr>
          <w:rFonts w:ascii="Arial" w:hAnsi="Arial" w:cs="Arial"/>
          <w:sz w:val="24"/>
          <w:szCs w:val="24"/>
          <w:u w:val="single"/>
        </w:rPr>
        <w:t>número do item</w:t>
      </w:r>
      <w:r w:rsidR="00264138" w:rsidRPr="008969F2">
        <w:rPr>
          <w:rFonts w:ascii="Arial" w:hAnsi="Arial" w:cs="Arial"/>
          <w:sz w:val="24"/>
          <w:szCs w:val="24"/>
        </w:rPr>
        <w:t xml:space="preserve"> objeto da sugestão</w:t>
      </w:r>
      <w:r w:rsidR="00FB378C" w:rsidRPr="008969F2">
        <w:rPr>
          <w:rFonts w:ascii="Arial" w:hAnsi="Arial" w:cs="Arial"/>
          <w:sz w:val="24"/>
          <w:szCs w:val="24"/>
        </w:rPr>
        <w:t>, caso existente</w:t>
      </w:r>
      <w:r w:rsidR="00264138" w:rsidRPr="008969F2">
        <w:rPr>
          <w:rFonts w:ascii="Arial" w:hAnsi="Arial" w:cs="Arial"/>
          <w:sz w:val="24"/>
          <w:szCs w:val="24"/>
        </w:rPr>
        <w:t>.</w:t>
      </w:r>
      <w:r w:rsidR="000C7F3F" w:rsidRPr="008969F2">
        <w:rPr>
          <w:rFonts w:ascii="Arial" w:hAnsi="Arial" w:cs="Arial"/>
          <w:sz w:val="24"/>
          <w:szCs w:val="24"/>
        </w:rPr>
        <w:t xml:space="preserve"> </w:t>
      </w:r>
      <w:r w:rsidR="002158EA" w:rsidRPr="008969F2">
        <w:rPr>
          <w:rFonts w:ascii="Arial" w:hAnsi="Arial" w:cs="Arial"/>
          <w:sz w:val="24"/>
          <w:szCs w:val="24"/>
        </w:rPr>
        <w:t xml:space="preserve">Caso a sugestão seja de </w:t>
      </w:r>
      <w:r w:rsidR="002158EA" w:rsidRPr="008969F2">
        <w:rPr>
          <w:rFonts w:ascii="Arial" w:hAnsi="Arial" w:cs="Arial"/>
          <w:sz w:val="24"/>
          <w:szCs w:val="24"/>
          <w:u w:val="single"/>
        </w:rPr>
        <w:t>Inclusão</w:t>
      </w:r>
      <w:r w:rsidR="002158EA" w:rsidRPr="008969F2">
        <w:rPr>
          <w:rFonts w:ascii="Arial" w:hAnsi="Arial" w:cs="Arial"/>
          <w:sz w:val="24"/>
          <w:szCs w:val="24"/>
        </w:rPr>
        <w:t>, deve-se es</w:t>
      </w:r>
      <w:r w:rsidR="00264138" w:rsidRPr="008969F2">
        <w:rPr>
          <w:rFonts w:ascii="Arial" w:hAnsi="Arial" w:cs="Arial"/>
          <w:sz w:val="24"/>
          <w:szCs w:val="24"/>
        </w:rPr>
        <w:t>pecificar o número que o item ou a c</w:t>
      </w:r>
      <w:r w:rsidR="002158EA" w:rsidRPr="008969F2">
        <w:rPr>
          <w:rFonts w:ascii="Arial" w:hAnsi="Arial" w:cs="Arial"/>
          <w:sz w:val="24"/>
          <w:szCs w:val="24"/>
        </w:rPr>
        <w:t xml:space="preserve">láusula teria </w:t>
      </w:r>
      <w:r w:rsidR="000C7F3F" w:rsidRPr="008969F2">
        <w:rPr>
          <w:rFonts w:ascii="Arial" w:hAnsi="Arial" w:cs="Arial"/>
          <w:sz w:val="24"/>
          <w:szCs w:val="24"/>
        </w:rPr>
        <w:t>caso</w:t>
      </w:r>
      <w:r w:rsidR="002158EA" w:rsidRPr="008969F2">
        <w:rPr>
          <w:rFonts w:ascii="Arial" w:hAnsi="Arial" w:cs="Arial"/>
          <w:sz w:val="24"/>
          <w:szCs w:val="24"/>
        </w:rPr>
        <w:t xml:space="preserve"> a sugestão fosse acatada pela ANP;</w:t>
      </w:r>
    </w:p>
    <w:p w:rsidR="002158EA" w:rsidRPr="008969F2" w:rsidRDefault="002158EA" w:rsidP="00B27481">
      <w:pPr>
        <w:pStyle w:val="PargrafodaLista"/>
        <w:numPr>
          <w:ilvl w:val="0"/>
          <w:numId w:val="1"/>
        </w:numPr>
        <w:spacing w:before="120" w:after="120" w:line="360" w:lineRule="auto"/>
        <w:jc w:val="both"/>
        <w:rPr>
          <w:rFonts w:ascii="Arial" w:hAnsi="Arial" w:cs="Arial"/>
          <w:sz w:val="24"/>
          <w:szCs w:val="24"/>
        </w:rPr>
      </w:pPr>
      <w:r w:rsidRPr="008969F2">
        <w:rPr>
          <w:rFonts w:ascii="Arial" w:hAnsi="Arial" w:cs="Arial"/>
          <w:sz w:val="24"/>
          <w:szCs w:val="24"/>
        </w:rPr>
        <w:t xml:space="preserve">No campo </w:t>
      </w:r>
      <w:r w:rsidR="00BA4C9C" w:rsidRPr="008969F2">
        <w:rPr>
          <w:rFonts w:ascii="Arial" w:hAnsi="Arial" w:cs="Arial"/>
          <w:sz w:val="24"/>
          <w:szCs w:val="24"/>
          <w:u w:val="single"/>
        </w:rPr>
        <w:t>Proposta de alteração</w:t>
      </w:r>
      <w:r w:rsidR="00BA4C9C" w:rsidRPr="008969F2">
        <w:rPr>
          <w:rFonts w:ascii="Arial" w:hAnsi="Arial" w:cs="Arial"/>
          <w:sz w:val="24"/>
          <w:szCs w:val="24"/>
        </w:rPr>
        <w:t xml:space="preserve">, </w:t>
      </w:r>
      <w:r w:rsidR="000C7F3F" w:rsidRPr="008969F2">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8969F2">
        <w:rPr>
          <w:rFonts w:ascii="Arial" w:hAnsi="Arial" w:cs="Arial"/>
          <w:sz w:val="24"/>
          <w:szCs w:val="24"/>
          <w:u w:val="single"/>
        </w:rPr>
        <w:t>Exclusão</w:t>
      </w:r>
      <w:r w:rsidR="00932C2C" w:rsidRPr="008969F2">
        <w:rPr>
          <w:rFonts w:ascii="Arial" w:hAnsi="Arial" w:cs="Arial"/>
          <w:sz w:val="24"/>
          <w:szCs w:val="24"/>
        </w:rPr>
        <w:t>, deve-</w:t>
      </w:r>
      <w:r w:rsidR="000C7F3F" w:rsidRPr="008969F2">
        <w:rPr>
          <w:rFonts w:ascii="Arial" w:hAnsi="Arial" w:cs="Arial"/>
          <w:sz w:val="24"/>
          <w:szCs w:val="24"/>
        </w:rPr>
        <w:t>se deixar o campo em branco;</w:t>
      </w:r>
    </w:p>
    <w:p w:rsidR="000C7F3F" w:rsidRPr="008969F2" w:rsidRDefault="000C7F3F" w:rsidP="00B27481">
      <w:pPr>
        <w:pStyle w:val="PargrafodaLista"/>
        <w:numPr>
          <w:ilvl w:val="0"/>
          <w:numId w:val="1"/>
        </w:numPr>
        <w:spacing w:before="120" w:after="120" w:line="360" w:lineRule="auto"/>
        <w:jc w:val="both"/>
        <w:rPr>
          <w:rFonts w:ascii="Arial" w:hAnsi="Arial" w:cs="Arial"/>
          <w:sz w:val="24"/>
          <w:szCs w:val="24"/>
        </w:rPr>
      </w:pPr>
      <w:r w:rsidRPr="008969F2">
        <w:rPr>
          <w:rFonts w:ascii="Arial" w:hAnsi="Arial" w:cs="Arial"/>
          <w:sz w:val="24"/>
          <w:szCs w:val="24"/>
        </w:rPr>
        <w:t xml:space="preserve">No campo </w:t>
      </w:r>
      <w:r w:rsidRPr="008969F2">
        <w:rPr>
          <w:rFonts w:ascii="Arial" w:hAnsi="Arial" w:cs="Arial"/>
          <w:sz w:val="24"/>
          <w:szCs w:val="24"/>
          <w:u w:val="single"/>
        </w:rPr>
        <w:t>Justificativa</w:t>
      </w:r>
      <w:r w:rsidRPr="008969F2">
        <w:rPr>
          <w:rFonts w:ascii="Arial" w:hAnsi="Arial" w:cs="Arial"/>
          <w:sz w:val="24"/>
          <w:szCs w:val="24"/>
        </w:rPr>
        <w:t xml:space="preserve">, deve ser descrita </w:t>
      </w:r>
      <w:r w:rsidR="00EA1DC4" w:rsidRPr="008969F2">
        <w:rPr>
          <w:rFonts w:ascii="Arial" w:hAnsi="Arial" w:cs="Arial"/>
          <w:sz w:val="24"/>
          <w:szCs w:val="24"/>
        </w:rPr>
        <w:t xml:space="preserve">a </w:t>
      </w:r>
      <w:r w:rsidRPr="008969F2">
        <w:rPr>
          <w:rFonts w:ascii="Arial" w:hAnsi="Arial" w:cs="Arial"/>
          <w:sz w:val="24"/>
          <w:szCs w:val="24"/>
        </w:rPr>
        <w:t xml:space="preserve">justificativa </w:t>
      </w:r>
      <w:r w:rsidR="00EA1DC4" w:rsidRPr="008969F2">
        <w:rPr>
          <w:rFonts w:ascii="Arial" w:hAnsi="Arial" w:cs="Arial"/>
          <w:sz w:val="24"/>
          <w:szCs w:val="24"/>
        </w:rPr>
        <w:t xml:space="preserve">para a sugestão proposta. </w:t>
      </w:r>
    </w:p>
    <w:p w:rsidR="006E7756" w:rsidRPr="008969F2" w:rsidRDefault="006E7756" w:rsidP="008A590E">
      <w:pPr>
        <w:rPr>
          <w:rFonts w:ascii="Arial" w:hAnsi="Arial" w:cs="Arial"/>
          <w:sz w:val="24"/>
          <w:szCs w:val="24"/>
        </w:rPr>
      </w:pPr>
    </w:p>
    <w:p w:rsidR="00FB378C" w:rsidRPr="008969F2" w:rsidRDefault="00FB378C" w:rsidP="008A590E">
      <w:pPr>
        <w:rPr>
          <w:rFonts w:ascii="Arial" w:hAnsi="Arial" w:cs="Arial"/>
          <w:b/>
          <w:sz w:val="24"/>
          <w:szCs w:val="24"/>
        </w:rPr>
      </w:pPr>
    </w:p>
    <w:p w:rsidR="00FB378C" w:rsidRPr="008969F2" w:rsidRDefault="00FB378C" w:rsidP="008A590E">
      <w:pPr>
        <w:rPr>
          <w:rFonts w:ascii="Arial" w:hAnsi="Arial" w:cs="Arial"/>
          <w:b/>
          <w:sz w:val="24"/>
          <w:szCs w:val="24"/>
        </w:rPr>
      </w:pPr>
    </w:p>
    <w:p w:rsidR="00FB378C" w:rsidRPr="008969F2" w:rsidRDefault="00FB378C" w:rsidP="008A590E">
      <w:pPr>
        <w:rPr>
          <w:rFonts w:ascii="Arial" w:hAnsi="Arial" w:cs="Arial"/>
          <w:b/>
          <w:sz w:val="24"/>
          <w:szCs w:val="24"/>
        </w:rPr>
      </w:pPr>
    </w:p>
    <w:p w:rsidR="00006A74" w:rsidRPr="008969F2" w:rsidRDefault="00006A74" w:rsidP="008A590E">
      <w:pPr>
        <w:rPr>
          <w:rFonts w:ascii="Arial" w:hAnsi="Arial" w:cs="Arial"/>
          <w:b/>
          <w:sz w:val="24"/>
          <w:szCs w:val="24"/>
        </w:rPr>
      </w:pPr>
    </w:p>
    <w:p w:rsidR="00FB378C" w:rsidRPr="008969F2" w:rsidRDefault="00FB378C" w:rsidP="008A590E">
      <w:pPr>
        <w:rPr>
          <w:rFonts w:ascii="Arial" w:hAnsi="Arial" w:cs="Arial"/>
          <w:b/>
          <w:sz w:val="24"/>
          <w:szCs w:val="24"/>
        </w:rPr>
      </w:pPr>
    </w:p>
    <w:p w:rsidR="00FB378C" w:rsidRPr="008969F2" w:rsidRDefault="00FB378C" w:rsidP="008A590E">
      <w:pPr>
        <w:rPr>
          <w:rFonts w:ascii="Arial" w:hAnsi="Arial" w:cs="Arial"/>
          <w:b/>
          <w:sz w:val="24"/>
          <w:szCs w:val="24"/>
        </w:rPr>
      </w:pPr>
    </w:p>
    <w:p w:rsidR="00FB378C" w:rsidRPr="008969F2" w:rsidRDefault="00FB378C" w:rsidP="008A590E">
      <w:pPr>
        <w:rPr>
          <w:rFonts w:ascii="Arial" w:hAnsi="Arial" w:cs="Arial"/>
          <w:b/>
          <w:sz w:val="24"/>
          <w:szCs w:val="24"/>
        </w:rPr>
      </w:pPr>
    </w:p>
    <w:p w:rsidR="00FB378C" w:rsidRPr="008969F2" w:rsidRDefault="00FB378C" w:rsidP="008A590E">
      <w:pPr>
        <w:rPr>
          <w:rFonts w:ascii="Arial" w:hAnsi="Arial" w:cs="Arial"/>
          <w:b/>
          <w:sz w:val="24"/>
          <w:szCs w:val="24"/>
        </w:rPr>
      </w:pPr>
    </w:p>
    <w:p w:rsidR="008A590E" w:rsidRPr="008969F2" w:rsidRDefault="008A590E" w:rsidP="00FB378C">
      <w:pPr>
        <w:spacing w:before="120" w:after="120" w:line="360" w:lineRule="auto"/>
        <w:rPr>
          <w:rFonts w:ascii="Arial" w:hAnsi="Arial" w:cs="Arial"/>
          <w:b/>
          <w:sz w:val="24"/>
          <w:szCs w:val="24"/>
        </w:rPr>
      </w:pPr>
      <w:r w:rsidRPr="008969F2">
        <w:rPr>
          <w:rFonts w:ascii="Arial" w:hAnsi="Arial" w:cs="Arial"/>
          <w:b/>
          <w:sz w:val="24"/>
          <w:szCs w:val="24"/>
        </w:rPr>
        <w:t>E</w:t>
      </w:r>
      <w:r w:rsidR="00932C2C" w:rsidRPr="008969F2">
        <w:rPr>
          <w:rFonts w:ascii="Arial" w:hAnsi="Arial" w:cs="Arial"/>
          <w:b/>
          <w:sz w:val="24"/>
          <w:szCs w:val="24"/>
        </w:rPr>
        <w:t>xemplo de preenchimento do formulário de comentários e sugestões:</w:t>
      </w:r>
    </w:p>
    <w:p w:rsidR="008A590E" w:rsidRPr="008969F2" w:rsidRDefault="008A590E" w:rsidP="00FB378C">
      <w:pPr>
        <w:spacing w:before="120" w:after="120" w:line="360" w:lineRule="auto"/>
        <w:rPr>
          <w:rFonts w:ascii="Arial" w:hAnsi="Arial" w:cs="Arial"/>
          <w:sz w:val="24"/>
          <w:szCs w:val="24"/>
        </w:rPr>
      </w:pPr>
    </w:p>
    <w:tbl>
      <w:tblPr>
        <w:tblStyle w:val="Tabelacomgrade"/>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6"/>
        <w:gridCol w:w="1522"/>
        <w:gridCol w:w="1522"/>
        <w:gridCol w:w="4951"/>
        <w:gridCol w:w="4645"/>
      </w:tblGrid>
      <w:tr w:rsidR="00932C2C" w:rsidRPr="008969F2" w:rsidTr="00FB378C">
        <w:trPr>
          <w:trHeight w:val="1701"/>
          <w:tblHeader/>
        </w:trPr>
        <w:tc>
          <w:tcPr>
            <w:tcW w:w="538" w:type="pct"/>
            <w:vAlign w:val="center"/>
          </w:tcPr>
          <w:p w:rsidR="002158EA" w:rsidRPr="008969F2" w:rsidRDefault="002158EA" w:rsidP="00FB378C">
            <w:pPr>
              <w:pStyle w:val="Legenda"/>
              <w:spacing w:before="120" w:after="120"/>
              <w:jc w:val="center"/>
              <w:rPr>
                <w:rFonts w:cs="Arial"/>
                <w:b/>
                <w:color w:val="000000" w:themeColor="text1"/>
                <w:szCs w:val="24"/>
              </w:rPr>
            </w:pPr>
            <w:r w:rsidRPr="008969F2">
              <w:rPr>
                <w:rFonts w:cs="Arial"/>
                <w:b/>
                <w:color w:val="000000" w:themeColor="text1"/>
                <w:szCs w:val="24"/>
              </w:rPr>
              <w:t>Documento</w:t>
            </w:r>
          </w:p>
        </w:tc>
        <w:tc>
          <w:tcPr>
            <w:tcW w:w="538" w:type="pct"/>
            <w:vAlign w:val="center"/>
          </w:tcPr>
          <w:p w:rsidR="002158EA" w:rsidRPr="008969F2" w:rsidRDefault="002158EA" w:rsidP="00FB378C">
            <w:pPr>
              <w:pStyle w:val="Legenda"/>
              <w:spacing w:before="120" w:after="120"/>
              <w:jc w:val="center"/>
              <w:rPr>
                <w:rFonts w:cs="Arial"/>
                <w:b/>
                <w:color w:val="000000" w:themeColor="text1"/>
                <w:szCs w:val="24"/>
              </w:rPr>
            </w:pPr>
            <w:r w:rsidRPr="008969F2">
              <w:rPr>
                <w:rFonts w:cs="Arial"/>
                <w:b/>
                <w:color w:val="000000" w:themeColor="text1"/>
                <w:szCs w:val="24"/>
              </w:rPr>
              <w:t>Natureza da sugestão</w:t>
            </w:r>
          </w:p>
        </w:tc>
        <w:tc>
          <w:tcPr>
            <w:tcW w:w="538" w:type="pct"/>
            <w:vAlign w:val="center"/>
          </w:tcPr>
          <w:p w:rsidR="002158EA" w:rsidRPr="008969F2" w:rsidRDefault="002158EA" w:rsidP="00FB378C">
            <w:pPr>
              <w:pStyle w:val="Legenda"/>
              <w:spacing w:before="120" w:after="120"/>
              <w:jc w:val="center"/>
              <w:rPr>
                <w:rFonts w:cs="Arial"/>
                <w:b/>
                <w:color w:val="000000" w:themeColor="text1"/>
                <w:szCs w:val="24"/>
              </w:rPr>
            </w:pPr>
            <w:r w:rsidRPr="008969F2">
              <w:rPr>
                <w:rFonts w:cs="Arial"/>
                <w:b/>
                <w:color w:val="000000" w:themeColor="text1"/>
                <w:szCs w:val="24"/>
              </w:rPr>
              <w:t>Item</w:t>
            </w:r>
          </w:p>
        </w:tc>
        <w:tc>
          <w:tcPr>
            <w:tcW w:w="1747" w:type="pct"/>
            <w:vAlign w:val="center"/>
          </w:tcPr>
          <w:p w:rsidR="002158EA" w:rsidRPr="008969F2" w:rsidRDefault="002158EA" w:rsidP="00FB378C">
            <w:pPr>
              <w:pStyle w:val="Legenda"/>
              <w:spacing w:before="120" w:after="120"/>
              <w:jc w:val="center"/>
              <w:rPr>
                <w:rFonts w:cs="Arial"/>
                <w:b/>
                <w:color w:val="000000" w:themeColor="text1"/>
                <w:szCs w:val="24"/>
              </w:rPr>
            </w:pPr>
            <w:r w:rsidRPr="008969F2">
              <w:rPr>
                <w:rFonts w:cs="Arial"/>
                <w:b/>
                <w:color w:val="000000" w:themeColor="text1"/>
                <w:szCs w:val="24"/>
              </w:rPr>
              <w:t>Proposta de alteração</w:t>
            </w:r>
          </w:p>
        </w:tc>
        <w:tc>
          <w:tcPr>
            <w:tcW w:w="1639" w:type="pct"/>
            <w:vAlign w:val="center"/>
          </w:tcPr>
          <w:p w:rsidR="002158EA" w:rsidRPr="008969F2" w:rsidRDefault="002158EA" w:rsidP="00FB378C">
            <w:pPr>
              <w:pStyle w:val="Legenda"/>
              <w:spacing w:before="120" w:after="120"/>
              <w:jc w:val="center"/>
              <w:rPr>
                <w:rFonts w:cs="Arial"/>
                <w:b/>
                <w:color w:val="000000" w:themeColor="text1"/>
                <w:szCs w:val="24"/>
              </w:rPr>
            </w:pPr>
            <w:r w:rsidRPr="008969F2">
              <w:rPr>
                <w:rFonts w:cs="Arial"/>
                <w:b/>
                <w:color w:val="000000" w:themeColor="text1"/>
                <w:szCs w:val="24"/>
              </w:rPr>
              <w:t>Justificativa</w:t>
            </w:r>
          </w:p>
        </w:tc>
      </w:tr>
      <w:tr w:rsidR="00932C2C" w:rsidRPr="008969F2" w:rsidTr="00FB378C">
        <w:trPr>
          <w:trHeight w:val="1701"/>
        </w:trPr>
        <w:tc>
          <w:tcPr>
            <w:tcW w:w="538" w:type="pct"/>
            <w:vAlign w:val="center"/>
          </w:tcPr>
          <w:p w:rsidR="002158EA" w:rsidRPr="008969F2" w:rsidRDefault="00615A71" w:rsidP="00FB378C">
            <w:pPr>
              <w:pStyle w:val="Legenda"/>
              <w:spacing w:before="120" w:after="120"/>
              <w:jc w:val="center"/>
              <w:rPr>
                <w:rFonts w:cs="Arial"/>
                <w:color w:val="000000" w:themeColor="text1"/>
                <w:szCs w:val="24"/>
              </w:rPr>
            </w:pPr>
            <w:r w:rsidRPr="008969F2">
              <w:rPr>
                <w:rFonts w:cs="Arial"/>
                <w:color w:val="000000" w:themeColor="text1"/>
                <w:szCs w:val="24"/>
              </w:rPr>
              <w:t>Minuta do contrato</w:t>
            </w:r>
          </w:p>
        </w:tc>
        <w:tc>
          <w:tcPr>
            <w:tcW w:w="538" w:type="pct"/>
            <w:vAlign w:val="center"/>
          </w:tcPr>
          <w:p w:rsidR="002158EA" w:rsidRPr="008969F2" w:rsidRDefault="00932C2C" w:rsidP="00FB378C">
            <w:pPr>
              <w:pStyle w:val="Legenda"/>
              <w:spacing w:before="120" w:after="120"/>
              <w:jc w:val="center"/>
              <w:rPr>
                <w:rFonts w:cs="Arial"/>
                <w:color w:val="000000" w:themeColor="text1"/>
                <w:szCs w:val="24"/>
              </w:rPr>
            </w:pPr>
            <w:r w:rsidRPr="008969F2">
              <w:rPr>
                <w:rFonts w:cs="Arial"/>
                <w:color w:val="000000" w:themeColor="text1"/>
                <w:szCs w:val="24"/>
              </w:rPr>
              <w:t>Alteração</w:t>
            </w:r>
          </w:p>
        </w:tc>
        <w:tc>
          <w:tcPr>
            <w:tcW w:w="538" w:type="pct"/>
            <w:vAlign w:val="center"/>
          </w:tcPr>
          <w:p w:rsidR="002158EA" w:rsidRPr="008969F2" w:rsidRDefault="002158EA" w:rsidP="00615A71">
            <w:pPr>
              <w:pStyle w:val="Legenda"/>
              <w:spacing w:before="120" w:after="120"/>
              <w:jc w:val="center"/>
              <w:rPr>
                <w:rFonts w:cs="Arial"/>
                <w:color w:val="000000" w:themeColor="text1"/>
                <w:szCs w:val="24"/>
              </w:rPr>
            </w:pPr>
            <w:r w:rsidRPr="008969F2">
              <w:rPr>
                <w:rFonts w:cs="Arial"/>
                <w:color w:val="000000" w:themeColor="text1"/>
                <w:szCs w:val="24"/>
              </w:rPr>
              <w:t xml:space="preserve">Anexo </w:t>
            </w:r>
            <w:r w:rsidR="00615A71" w:rsidRPr="008969F2">
              <w:rPr>
                <w:rFonts w:cs="Arial"/>
                <w:color w:val="000000" w:themeColor="text1"/>
                <w:szCs w:val="24"/>
              </w:rPr>
              <w:t>II</w:t>
            </w:r>
            <w:r w:rsidR="005C4925" w:rsidRPr="008969F2">
              <w:rPr>
                <w:rFonts w:cs="Arial"/>
                <w:color w:val="000000" w:themeColor="text1"/>
                <w:szCs w:val="24"/>
              </w:rPr>
              <w:t xml:space="preserve"> – </w:t>
            </w:r>
            <w:r w:rsidR="00615A71" w:rsidRPr="008969F2">
              <w:rPr>
                <w:rFonts w:cs="Arial"/>
                <w:color w:val="000000" w:themeColor="text1"/>
                <w:szCs w:val="24"/>
              </w:rPr>
              <w:t>3.2.1</w:t>
            </w:r>
          </w:p>
        </w:tc>
        <w:tc>
          <w:tcPr>
            <w:tcW w:w="1747" w:type="pct"/>
            <w:vAlign w:val="center"/>
          </w:tcPr>
          <w:p w:rsidR="002158EA" w:rsidRPr="008969F2" w:rsidRDefault="002158EA" w:rsidP="00FB378C">
            <w:pPr>
              <w:pStyle w:val="Legenda"/>
              <w:spacing w:before="120" w:after="120"/>
              <w:jc w:val="center"/>
              <w:rPr>
                <w:rFonts w:cs="Arial"/>
                <w:color w:val="000000" w:themeColor="text1"/>
                <w:szCs w:val="24"/>
              </w:rPr>
            </w:pPr>
            <w:r w:rsidRPr="008969F2">
              <w:rPr>
                <w:rFonts w:cs="Arial"/>
                <w:color w:val="000000" w:themeColor="text1"/>
                <w:szCs w:val="24"/>
              </w:rPr>
              <w:t>Texto proposto.</w:t>
            </w:r>
          </w:p>
        </w:tc>
        <w:tc>
          <w:tcPr>
            <w:tcW w:w="1639" w:type="pct"/>
            <w:vAlign w:val="center"/>
          </w:tcPr>
          <w:p w:rsidR="002158EA" w:rsidRPr="008969F2" w:rsidRDefault="002158EA" w:rsidP="00FB378C">
            <w:pPr>
              <w:pStyle w:val="Legenda"/>
              <w:spacing w:before="120" w:after="120"/>
              <w:jc w:val="center"/>
              <w:rPr>
                <w:rFonts w:cs="Arial"/>
                <w:color w:val="000000" w:themeColor="text1"/>
                <w:szCs w:val="24"/>
              </w:rPr>
            </w:pPr>
            <w:r w:rsidRPr="008969F2">
              <w:rPr>
                <w:rFonts w:cs="Arial"/>
                <w:color w:val="000000" w:themeColor="text1"/>
                <w:szCs w:val="24"/>
              </w:rPr>
              <w:t>Justificativa.</w:t>
            </w:r>
          </w:p>
        </w:tc>
      </w:tr>
      <w:tr w:rsidR="00932C2C" w:rsidRPr="008969F2" w:rsidTr="00FB378C">
        <w:trPr>
          <w:trHeight w:val="1701"/>
        </w:trPr>
        <w:tc>
          <w:tcPr>
            <w:tcW w:w="538" w:type="pct"/>
            <w:vAlign w:val="center"/>
          </w:tcPr>
          <w:p w:rsidR="002158EA" w:rsidRPr="008969F2" w:rsidRDefault="00615A71" w:rsidP="00FB378C">
            <w:pPr>
              <w:pStyle w:val="Legenda"/>
              <w:spacing w:before="120" w:after="120"/>
              <w:jc w:val="center"/>
              <w:rPr>
                <w:rFonts w:cs="Arial"/>
                <w:color w:val="000000" w:themeColor="text1"/>
                <w:szCs w:val="24"/>
              </w:rPr>
            </w:pPr>
            <w:r w:rsidRPr="008969F2">
              <w:rPr>
                <w:rFonts w:cs="Arial"/>
                <w:color w:val="000000" w:themeColor="text1"/>
                <w:szCs w:val="24"/>
              </w:rPr>
              <w:t>Pré-edital</w:t>
            </w:r>
          </w:p>
        </w:tc>
        <w:tc>
          <w:tcPr>
            <w:tcW w:w="538" w:type="pct"/>
            <w:vAlign w:val="center"/>
          </w:tcPr>
          <w:p w:rsidR="002158EA" w:rsidRPr="008969F2" w:rsidRDefault="00932C2C" w:rsidP="00FB378C">
            <w:pPr>
              <w:pStyle w:val="Legenda"/>
              <w:spacing w:before="120" w:after="120"/>
              <w:jc w:val="center"/>
              <w:rPr>
                <w:rFonts w:cs="Arial"/>
                <w:color w:val="000000" w:themeColor="text1"/>
                <w:szCs w:val="24"/>
              </w:rPr>
            </w:pPr>
            <w:r w:rsidRPr="008969F2">
              <w:rPr>
                <w:rFonts w:cs="Arial"/>
                <w:color w:val="000000" w:themeColor="text1"/>
                <w:szCs w:val="24"/>
              </w:rPr>
              <w:t>Exclusão</w:t>
            </w:r>
          </w:p>
        </w:tc>
        <w:tc>
          <w:tcPr>
            <w:tcW w:w="538" w:type="pct"/>
            <w:vAlign w:val="center"/>
          </w:tcPr>
          <w:p w:rsidR="002158EA" w:rsidRPr="008969F2" w:rsidRDefault="00615A71" w:rsidP="00FB378C">
            <w:pPr>
              <w:pStyle w:val="Legenda"/>
              <w:spacing w:before="120" w:after="120"/>
              <w:jc w:val="center"/>
              <w:rPr>
                <w:rFonts w:cs="Arial"/>
                <w:color w:val="000000" w:themeColor="text1"/>
                <w:szCs w:val="24"/>
              </w:rPr>
            </w:pPr>
            <w:r w:rsidRPr="008969F2">
              <w:rPr>
                <w:rFonts w:cs="Arial"/>
                <w:color w:val="000000" w:themeColor="text1"/>
                <w:szCs w:val="24"/>
              </w:rPr>
              <w:t>1.4.3</w:t>
            </w:r>
          </w:p>
        </w:tc>
        <w:tc>
          <w:tcPr>
            <w:tcW w:w="1747" w:type="pct"/>
            <w:vAlign w:val="center"/>
          </w:tcPr>
          <w:p w:rsidR="002158EA" w:rsidRPr="008969F2" w:rsidRDefault="002158EA" w:rsidP="00FB378C">
            <w:pPr>
              <w:pStyle w:val="Legenda"/>
              <w:spacing w:before="120" w:after="120"/>
              <w:jc w:val="center"/>
              <w:rPr>
                <w:rFonts w:cs="Arial"/>
                <w:color w:val="000000" w:themeColor="text1"/>
                <w:szCs w:val="24"/>
              </w:rPr>
            </w:pPr>
          </w:p>
        </w:tc>
        <w:tc>
          <w:tcPr>
            <w:tcW w:w="1639" w:type="pct"/>
            <w:vAlign w:val="center"/>
          </w:tcPr>
          <w:p w:rsidR="002158EA" w:rsidRPr="008969F2" w:rsidRDefault="002158EA" w:rsidP="00FB378C">
            <w:pPr>
              <w:pStyle w:val="Legenda"/>
              <w:spacing w:before="120" w:after="120"/>
              <w:jc w:val="center"/>
              <w:rPr>
                <w:rFonts w:cs="Arial"/>
                <w:color w:val="000000" w:themeColor="text1"/>
                <w:szCs w:val="24"/>
              </w:rPr>
            </w:pPr>
            <w:r w:rsidRPr="008969F2">
              <w:rPr>
                <w:rFonts w:cs="Arial"/>
                <w:color w:val="000000" w:themeColor="text1"/>
                <w:szCs w:val="24"/>
              </w:rPr>
              <w:t>Justificativa</w:t>
            </w:r>
          </w:p>
        </w:tc>
      </w:tr>
    </w:tbl>
    <w:p w:rsidR="006E3142" w:rsidRPr="008969F2" w:rsidRDefault="006E3142" w:rsidP="00FB378C">
      <w:pPr>
        <w:pStyle w:val="Legenda"/>
        <w:spacing w:before="120" w:after="120" w:line="360" w:lineRule="auto"/>
        <w:jc w:val="both"/>
        <w:rPr>
          <w:rFonts w:cs="Arial"/>
          <w:b/>
          <w:szCs w:val="24"/>
        </w:rPr>
      </w:pPr>
    </w:p>
    <w:p w:rsidR="006E3142" w:rsidRPr="008969F2" w:rsidRDefault="006E3142" w:rsidP="00FB378C">
      <w:pPr>
        <w:pStyle w:val="Legenda"/>
        <w:spacing w:before="120" w:after="120" w:line="360" w:lineRule="auto"/>
        <w:jc w:val="both"/>
        <w:rPr>
          <w:rFonts w:cs="Arial"/>
          <w:b/>
          <w:szCs w:val="24"/>
        </w:rPr>
      </w:pPr>
      <w:r w:rsidRPr="008969F2">
        <w:rPr>
          <w:rFonts w:cs="Arial"/>
          <w:b/>
          <w:szCs w:val="24"/>
        </w:rPr>
        <w:t>Instruções para envio do formulário:</w:t>
      </w:r>
    </w:p>
    <w:p w:rsidR="006E3142" w:rsidRPr="008969F2" w:rsidRDefault="006E3142" w:rsidP="005A66BD">
      <w:pPr>
        <w:pStyle w:val="Legenda"/>
        <w:spacing w:before="120" w:after="120" w:line="360" w:lineRule="auto"/>
        <w:jc w:val="both"/>
        <w:rPr>
          <w:rFonts w:cs="Arial"/>
          <w:b/>
          <w:szCs w:val="24"/>
        </w:rPr>
      </w:pPr>
      <w:r w:rsidRPr="008969F2">
        <w:rPr>
          <w:rFonts w:cs="Arial"/>
          <w:szCs w:val="24"/>
        </w:rPr>
        <w:t xml:space="preserve">Após o preenchimento deste formulário, remeta-o à Agência Nacional do Petróleo, Gás Natural e Biocombustíveis (ANP) até </w:t>
      </w:r>
      <w:r w:rsidR="009403DB" w:rsidRPr="008969F2">
        <w:rPr>
          <w:rFonts w:cs="Arial"/>
          <w:szCs w:val="24"/>
        </w:rPr>
        <w:t xml:space="preserve">às </w:t>
      </w:r>
      <w:r w:rsidR="00AB3B7A" w:rsidRPr="008969F2">
        <w:rPr>
          <w:rFonts w:cs="Arial"/>
          <w:b/>
          <w:szCs w:val="24"/>
        </w:rPr>
        <w:t>18</w:t>
      </w:r>
      <w:r w:rsidR="009403DB" w:rsidRPr="008969F2">
        <w:rPr>
          <w:rFonts w:cs="Arial"/>
          <w:b/>
          <w:szCs w:val="24"/>
        </w:rPr>
        <w:t xml:space="preserve"> horas do </w:t>
      </w:r>
      <w:r w:rsidRPr="008969F2">
        <w:rPr>
          <w:rFonts w:eastAsia="PMingLiU" w:cs="Arial"/>
          <w:b/>
          <w:color w:val="000000"/>
          <w:szCs w:val="24"/>
        </w:rPr>
        <w:t xml:space="preserve">dia </w:t>
      </w:r>
      <w:r w:rsidR="0072007B" w:rsidRPr="008969F2">
        <w:rPr>
          <w:rFonts w:eastAsia="PMingLiU" w:cs="Arial"/>
          <w:b/>
          <w:color w:val="000000"/>
          <w:szCs w:val="24"/>
        </w:rPr>
        <w:t>18</w:t>
      </w:r>
      <w:r w:rsidRPr="008969F2">
        <w:rPr>
          <w:rFonts w:eastAsia="PMingLiU" w:cs="Arial"/>
          <w:b/>
          <w:color w:val="000000"/>
          <w:szCs w:val="24"/>
        </w:rPr>
        <w:t xml:space="preserve"> de </w:t>
      </w:r>
      <w:r w:rsidR="0072007B" w:rsidRPr="008969F2">
        <w:rPr>
          <w:rFonts w:eastAsia="PMingLiU" w:cs="Arial"/>
          <w:b/>
          <w:color w:val="000000"/>
          <w:szCs w:val="24"/>
        </w:rPr>
        <w:t>dezembro</w:t>
      </w:r>
      <w:r w:rsidR="009403DB" w:rsidRPr="008969F2">
        <w:rPr>
          <w:rFonts w:eastAsia="PMingLiU" w:cs="Arial"/>
          <w:b/>
          <w:color w:val="000000"/>
          <w:szCs w:val="24"/>
        </w:rPr>
        <w:t xml:space="preserve"> de 201</w:t>
      </w:r>
      <w:r w:rsidR="002A1E27" w:rsidRPr="008969F2">
        <w:rPr>
          <w:rFonts w:eastAsia="PMingLiU" w:cs="Arial"/>
          <w:b/>
          <w:color w:val="000000"/>
          <w:szCs w:val="24"/>
        </w:rPr>
        <w:t>7</w:t>
      </w:r>
      <w:r w:rsidRPr="008969F2">
        <w:rPr>
          <w:rFonts w:eastAsia="PMingLiU" w:cs="Arial"/>
          <w:b/>
          <w:color w:val="000000"/>
          <w:szCs w:val="24"/>
        </w:rPr>
        <w:t xml:space="preserve"> </w:t>
      </w:r>
      <w:r w:rsidRPr="008969F2">
        <w:rPr>
          <w:rFonts w:cs="Arial"/>
          <w:szCs w:val="24"/>
        </w:rPr>
        <w:t>pelo</w:t>
      </w:r>
      <w:r w:rsidRPr="008969F2">
        <w:rPr>
          <w:rFonts w:cs="Arial"/>
          <w:b/>
          <w:szCs w:val="24"/>
        </w:rPr>
        <w:t xml:space="preserve"> </w:t>
      </w:r>
      <w:r w:rsidRPr="008969F2">
        <w:rPr>
          <w:rFonts w:cs="Arial"/>
          <w:szCs w:val="24"/>
        </w:rPr>
        <w:t xml:space="preserve">e-mail </w:t>
      </w:r>
      <w:hyperlink r:id="rId8" w:history="1">
        <w:r w:rsidRPr="008969F2">
          <w:rPr>
            <w:rStyle w:val="Hyperlink"/>
            <w:rFonts w:cs="Arial"/>
            <w:szCs w:val="24"/>
          </w:rPr>
          <w:t>rodadas@anp.gov.br</w:t>
        </w:r>
      </w:hyperlink>
      <w:r w:rsidRPr="008969F2">
        <w:rPr>
          <w:rFonts w:cs="Arial"/>
          <w:szCs w:val="24"/>
        </w:rPr>
        <w:t xml:space="preserve">. </w:t>
      </w:r>
      <w:r w:rsidRPr="008969F2">
        <w:rPr>
          <w:rFonts w:cs="Arial"/>
          <w:snapToGrid w:val="0"/>
          <w:color w:val="000000"/>
          <w:szCs w:val="24"/>
        </w:rPr>
        <w:t>A utilização deste formulário é obrigatória. Não serão aceitas sugestões e comentários fora do padrão deste formulário.</w:t>
      </w:r>
      <w:r w:rsidRPr="008969F2">
        <w:rPr>
          <w:rFonts w:cs="Arial"/>
          <w:b/>
          <w:szCs w:val="24"/>
        </w:rPr>
        <w:br w:type="page"/>
      </w:r>
    </w:p>
    <w:p w:rsidR="006E3142" w:rsidRPr="008969F2" w:rsidRDefault="006E3142" w:rsidP="00615A71">
      <w:pPr>
        <w:spacing w:before="120" w:after="120" w:line="360" w:lineRule="auto"/>
        <w:jc w:val="center"/>
        <w:rPr>
          <w:rFonts w:ascii="Arial" w:hAnsi="Arial" w:cs="Arial"/>
          <w:b/>
          <w:sz w:val="24"/>
          <w:szCs w:val="24"/>
        </w:rPr>
      </w:pPr>
      <w:r w:rsidRPr="008969F2">
        <w:rPr>
          <w:rFonts w:ascii="Arial" w:hAnsi="Arial" w:cs="Arial"/>
          <w:b/>
          <w:sz w:val="24"/>
          <w:szCs w:val="24"/>
        </w:rPr>
        <w:lastRenderedPageBreak/>
        <w:t>FORMULÁRIO DE COMENTÁRIOS E SUGESTÕES</w:t>
      </w:r>
    </w:p>
    <w:p w:rsidR="006E3142" w:rsidRPr="008969F2" w:rsidRDefault="006E3142" w:rsidP="00615A71">
      <w:pPr>
        <w:pStyle w:val="Legenda"/>
        <w:spacing w:before="120" w:after="120" w:line="360" w:lineRule="auto"/>
        <w:jc w:val="center"/>
        <w:rPr>
          <w:rFonts w:cs="Arial"/>
          <w:szCs w:val="24"/>
        </w:rPr>
      </w:pPr>
      <w:r w:rsidRPr="008969F2">
        <w:rPr>
          <w:rFonts w:cs="Arial"/>
          <w:szCs w:val="24"/>
        </w:rPr>
        <w:t xml:space="preserve">CONSULTA PÚBLICA Nº </w:t>
      </w:r>
      <w:r w:rsidR="00AB3B7A" w:rsidRPr="008969F2">
        <w:rPr>
          <w:rFonts w:cs="Arial"/>
          <w:szCs w:val="24"/>
        </w:rPr>
        <w:t>25</w:t>
      </w:r>
      <w:r w:rsidRPr="008969F2">
        <w:rPr>
          <w:rFonts w:cs="Arial"/>
          <w:szCs w:val="24"/>
        </w:rPr>
        <w:t>/201</w:t>
      </w:r>
      <w:r w:rsidR="002A1E27" w:rsidRPr="008969F2">
        <w:rPr>
          <w:rFonts w:cs="Arial"/>
          <w:szCs w:val="24"/>
        </w:rPr>
        <w:t>7</w:t>
      </w:r>
    </w:p>
    <w:p w:rsidR="006E3142" w:rsidRPr="008969F2" w:rsidRDefault="006E3142" w:rsidP="00842086">
      <w:pPr>
        <w:pStyle w:val="Legenda"/>
        <w:jc w:val="both"/>
        <w:rPr>
          <w:rFonts w:cs="Arial"/>
          <w:b/>
          <w:szCs w:val="24"/>
        </w:rPr>
      </w:pPr>
    </w:p>
    <w:p w:rsidR="006E3142" w:rsidRPr="008969F2" w:rsidRDefault="006E3142" w:rsidP="00842086">
      <w:pPr>
        <w:pStyle w:val="Legenda"/>
        <w:jc w:val="both"/>
        <w:rPr>
          <w:rFonts w:cs="Arial"/>
          <w:b/>
          <w:szCs w:val="24"/>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37"/>
        <w:gridCol w:w="1497"/>
        <w:gridCol w:w="1970"/>
        <w:gridCol w:w="4726"/>
        <w:gridCol w:w="4446"/>
      </w:tblGrid>
      <w:tr w:rsidR="006E3142" w:rsidRPr="008969F2" w:rsidTr="00335228">
        <w:trPr>
          <w:trHeight w:val="850"/>
          <w:tblHeader/>
        </w:trPr>
        <w:tc>
          <w:tcPr>
            <w:tcW w:w="542" w:type="pct"/>
            <w:tcBorders>
              <w:bottom w:val="dashSmallGap" w:sz="4" w:space="0" w:color="BFBFBF" w:themeColor="background1" w:themeShade="BF"/>
            </w:tcBorders>
            <w:vAlign w:val="center"/>
          </w:tcPr>
          <w:p w:rsidR="006E3142" w:rsidRPr="008969F2" w:rsidRDefault="006E3142" w:rsidP="000C0894">
            <w:pPr>
              <w:pStyle w:val="Legenda"/>
              <w:jc w:val="center"/>
              <w:rPr>
                <w:rFonts w:cs="Arial"/>
                <w:b/>
                <w:color w:val="000000" w:themeColor="text1"/>
                <w:szCs w:val="24"/>
              </w:rPr>
            </w:pPr>
            <w:r w:rsidRPr="008969F2">
              <w:rPr>
                <w:rFonts w:cs="Arial"/>
                <w:b/>
                <w:color w:val="000000" w:themeColor="text1"/>
                <w:szCs w:val="24"/>
              </w:rPr>
              <w:t>Documento</w:t>
            </w:r>
          </w:p>
        </w:tc>
        <w:tc>
          <w:tcPr>
            <w:tcW w:w="528" w:type="pct"/>
            <w:tcBorders>
              <w:bottom w:val="dashSmallGap" w:sz="4" w:space="0" w:color="BFBFBF" w:themeColor="background1" w:themeShade="BF"/>
            </w:tcBorders>
            <w:vAlign w:val="center"/>
          </w:tcPr>
          <w:p w:rsidR="006E3142" w:rsidRPr="008969F2" w:rsidRDefault="006E3142" w:rsidP="000C0894">
            <w:pPr>
              <w:pStyle w:val="Legenda"/>
              <w:jc w:val="center"/>
              <w:rPr>
                <w:rFonts w:cs="Arial"/>
                <w:b/>
                <w:color w:val="000000" w:themeColor="text1"/>
                <w:szCs w:val="24"/>
              </w:rPr>
            </w:pPr>
            <w:r w:rsidRPr="008969F2">
              <w:rPr>
                <w:rFonts w:cs="Arial"/>
                <w:b/>
                <w:color w:val="000000" w:themeColor="text1"/>
                <w:szCs w:val="24"/>
              </w:rPr>
              <w:t>Natureza da sugestão</w:t>
            </w:r>
          </w:p>
        </w:tc>
        <w:tc>
          <w:tcPr>
            <w:tcW w:w="695" w:type="pct"/>
            <w:tcBorders>
              <w:bottom w:val="dashSmallGap" w:sz="4" w:space="0" w:color="BFBFBF" w:themeColor="background1" w:themeShade="BF"/>
            </w:tcBorders>
            <w:vAlign w:val="center"/>
          </w:tcPr>
          <w:p w:rsidR="006E3142" w:rsidRPr="008969F2" w:rsidRDefault="006E3142" w:rsidP="000C0894">
            <w:pPr>
              <w:pStyle w:val="Legenda"/>
              <w:jc w:val="center"/>
              <w:rPr>
                <w:rFonts w:cs="Arial"/>
                <w:b/>
                <w:color w:val="000000" w:themeColor="text1"/>
                <w:szCs w:val="24"/>
              </w:rPr>
            </w:pPr>
            <w:r w:rsidRPr="008969F2">
              <w:rPr>
                <w:rFonts w:cs="Arial"/>
                <w:b/>
                <w:color w:val="000000" w:themeColor="text1"/>
                <w:szCs w:val="24"/>
              </w:rPr>
              <w:t>Item</w:t>
            </w:r>
          </w:p>
        </w:tc>
        <w:tc>
          <w:tcPr>
            <w:tcW w:w="1667" w:type="pct"/>
            <w:tcBorders>
              <w:bottom w:val="dashSmallGap" w:sz="4" w:space="0" w:color="BFBFBF" w:themeColor="background1" w:themeShade="BF"/>
            </w:tcBorders>
            <w:vAlign w:val="center"/>
          </w:tcPr>
          <w:p w:rsidR="006E3142" w:rsidRPr="008969F2" w:rsidRDefault="006E3142" w:rsidP="000C0894">
            <w:pPr>
              <w:pStyle w:val="Legenda"/>
              <w:jc w:val="center"/>
              <w:rPr>
                <w:rFonts w:cs="Arial"/>
                <w:b/>
                <w:color w:val="000000" w:themeColor="text1"/>
                <w:szCs w:val="24"/>
              </w:rPr>
            </w:pPr>
            <w:r w:rsidRPr="008969F2">
              <w:rPr>
                <w:rFonts w:cs="Arial"/>
                <w:b/>
                <w:color w:val="000000" w:themeColor="text1"/>
                <w:szCs w:val="24"/>
              </w:rPr>
              <w:t>Proposta de alteração</w:t>
            </w:r>
          </w:p>
        </w:tc>
        <w:tc>
          <w:tcPr>
            <w:tcW w:w="1568" w:type="pct"/>
            <w:tcBorders>
              <w:bottom w:val="dashSmallGap" w:sz="4" w:space="0" w:color="BFBFBF" w:themeColor="background1" w:themeShade="BF"/>
            </w:tcBorders>
            <w:vAlign w:val="center"/>
          </w:tcPr>
          <w:p w:rsidR="006E3142" w:rsidRPr="008969F2" w:rsidRDefault="006E3142" w:rsidP="000C0894">
            <w:pPr>
              <w:pStyle w:val="Legenda"/>
              <w:jc w:val="center"/>
              <w:rPr>
                <w:rFonts w:cs="Arial"/>
                <w:b/>
                <w:color w:val="000000" w:themeColor="text1"/>
                <w:szCs w:val="24"/>
              </w:rPr>
            </w:pPr>
            <w:r w:rsidRPr="008969F2">
              <w:rPr>
                <w:rFonts w:cs="Arial"/>
                <w:b/>
                <w:color w:val="000000" w:themeColor="text1"/>
                <w:szCs w:val="24"/>
              </w:rPr>
              <w:t>Justificativa</w:t>
            </w:r>
          </w:p>
        </w:tc>
      </w:tr>
      <w:tr w:rsidR="006E3142" w:rsidRPr="008969F2" w:rsidTr="00335228">
        <w:trPr>
          <w:trHeight w:val="2268"/>
        </w:trPr>
        <w:tc>
          <w:tcPr>
            <w:tcW w:w="542" w:type="pct"/>
            <w:vAlign w:val="center"/>
          </w:tcPr>
          <w:p w:rsidR="006E3142" w:rsidRPr="008969F2" w:rsidRDefault="002905FD" w:rsidP="00025ACA">
            <w:pPr>
              <w:pStyle w:val="Legenda"/>
              <w:jc w:val="center"/>
              <w:rPr>
                <w:rFonts w:cs="Arial"/>
                <w:color w:val="000000" w:themeColor="text1"/>
                <w:szCs w:val="24"/>
              </w:rPr>
            </w:pPr>
            <w:r w:rsidRPr="008969F2">
              <w:rPr>
                <w:rFonts w:cs="Arial"/>
                <w:color w:val="000000" w:themeColor="text1"/>
                <w:szCs w:val="24"/>
              </w:rPr>
              <w:t>Pré-edital</w:t>
            </w:r>
          </w:p>
        </w:tc>
        <w:tc>
          <w:tcPr>
            <w:tcW w:w="528" w:type="pct"/>
            <w:vAlign w:val="center"/>
          </w:tcPr>
          <w:p w:rsidR="006E3142" w:rsidRPr="008969F2" w:rsidRDefault="00D45EC6" w:rsidP="000C0894">
            <w:pPr>
              <w:pStyle w:val="Legenda"/>
              <w:jc w:val="center"/>
              <w:rPr>
                <w:rFonts w:cs="Arial"/>
                <w:color w:val="000000" w:themeColor="text1"/>
                <w:szCs w:val="24"/>
              </w:rPr>
            </w:pPr>
            <w:r w:rsidRPr="008969F2">
              <w:rPr>
                <w:rFonts w:cs="Arial"/>
                <w:color w:val="000000" w:themeColor="text1"/>
                <w:szCs w:val="24"/>
              </w:rPr>
              <w:t>Alteração</w:t>
            </w:r>
          </w:p>
        </w:tc>
        <w:tc>
          <w:tcPr>
            <w:tcW w:w="695" w:type="pct"/>
            <w:vAlign w:val="center"/>
          </w:tcPr>
          <w:p w:rsidR="006E3142" w:rsidRPr="008969F2" w:rsidRDefault="002905FD" w:rsidP="000C0894">
            <w:pPr>
              <w:pStyle w:val="Legenda"/>
              <w:jc w:val="center"/>
              <w:rPr>
                <w:rFonts w:cs="Arial"/>
                <w:color w:val="000000" w:themeColor="text1"/>
                <w:szCs w:val="24"/>
              </w:rPr>
            </w:pPr>
            <w:r w:rsidRPr="008969F2">
              <w:rPr>
                <w:rFonts w:cs="Arial"/>
                <w:color w:val="000000" w:themeColor="text1"/>
                <w:szCs w:val="24"/>
              </w:rPr>
              <w:t>Item 3</w:t>
            </w:r>
          </w:p>
        </w:tc>
        <w:tc>
          <w:tcPr>
            <w:tcW w:w="1667" w:type="pct"/>
            <w:vAlign w:val="center"/>
          </w:tcPr>
          <w:p w:rsidR="006E3142" w:rsidRPr="008969F2" w:rsidRDefault="002905FD" w:rsidP="00FB0E61">
            <w:pPr>
              <w:pStyle w:val="Legenda"/>
              <w:jc w:val="both"/>
              <w:rPr>
                <w:rFonts w:cs="Arial"/>
                <w:color w:val="000000" w:themeColor="text1"/>
                <w:szCs w:val="24"/>
              </w:rPr>
            </w:pPr>
            <w:r w:rsidRPr="008969F2">
              <w:rPr>
                <w:rFonts w:cs="Arial"/>
                <w:szCs w:val="24"/>
              </w:rPr>
              <w:t>Todos os documentos produzidos pela interessada deverão ser datados e assinados pelo representante credenciado, na última folha, com o nome legível do signatário. Todas as procurações, além de datadas e assinadas</w:t>
            </w:r>
            <w:r w:rsidR="007C70F2" w:rsidRPr="008969F2">
              <w:rPr>
                <w:rFonts w:cs="Arial"/>
                <w:szCs w:val="24"/>
              </w:rPr>
              <w:t>.</w:t>
            </w:r>
          </w:p>
        </w:tc>
        <w:tc>
          <w:tcPr>
            <w:tcW w:w="1568" w:type="pct"/>
            <w:vAlign w:val="center"/>
          </w:tcPr>
          <w:p w:rsidR="006E3142" w:rsidRPr="008969F2" w:rsidRDefault="007C70F2" w:rsidP="002658D5">
            <w:pPr>
              <w:pStyle w:val="Legenda"/>
              <w:jc w:val="both"/>
              <w:rPr>
                <w:rFonts w:cs="Arial"/>
                <w:szCs w:val="24"/>
              </w:rPr>
            </w:pPr>
            <w:r w:rsidRPr="008969F2">
              <w:rPr>
                <w:rFonts w:cs="Arial"/>
                <w:szCs w:val="24"/>
              </w:rPr>
              <w:t>Em 17 de julho de 2017 entrou em vigor no Brasil o Decreto 9094 que dispõe sobre a simplificação do atendimento prestado aos usuários dos serviços públicos, o qual ratifica a dispensa do reconhecimento de firma e da autenticação em documentos produzidos no País</w:t>
            </w:r>
            <w:r w:rsidR="002658D5" w:rsidRPr="008969F2">
              <w:rPr>
                <w:rFonts w:cs="Arial"/>
                <w:szCs w:val="24"/>
              </w:rPr>
              <w:t>, de modo que sugerimos a exclusão do trecho "deverão ser obrigatoriamente notarizadas" ao final do item ora comentado</w:t>
            </w:r>
            <w:r w:rsidRPr="008969F2">
              <w:rPr>
                <w:rFonts w:cs="Arial"/>
                <w:szCs w:val="24"/>
              </w:rPr>
              <w:t>. O artigo 9º do Decreto 9094/2017 é claro ao indicar que fica dispensado o reconhecimento de firma e a autenticação de cópia dos documentos expedidos no País e destinados a fazer prova junto a órgãos e entidades do Poder Executivo federal, exceto se existir dúvida fundada quanto à autenticidade ou previsão legal.</w:t>
            </w:r>
            <w:r w:rsidR="006237AD" w:rsidRPr="008969F2">
              <w:rPr>
                <w:rFonts w:cs="Arial"/>
                <w:szCs w:val="24"/>
              </w:rPr>
              <w:t xml:space="preserve"> </w:t>
            </w:r>
            <w:r w:rsidRPr="008969F2">
              <w:rPr>
                <w:rFonts w:cs="Arial"/>
                <w:szCs w:val="24"/>
              </w:rPr>
              <w:t xml:space="preserve">No mesmo sentido é </w:t>
            </w:r>
            <w:r w:rsidR="006237AD" w:rsidRPr="008969F2">
              <w:rPr>
                <w:rFonts w:cs="Arial"/>
                <w:szCs w:val="24"/>
              </w:rPr>
              <w:t xml:space="preserve">a Lei 13.460/2017, </w:t>
            </w:r>
            <w:r w:rsidR="002051F9" w:rsidRPr="008969F2">
              <w:rPr>
                <w:rFonts w:cs="Arial"/>
                <w:szCs w:val="24"/>
              </w:rPr>
              <w:t>que dispõe sobre</w:t>
            </w:r>
            <w:r w:rsidR="002658D5" w:rsidRPr="008969F2">
              <w:rPr>
                <w:rFonts w:cs="Arial"/>
                <w:szCs w:val="24"/>
              </w:rPr>
              <w:t xml:space="preserve"> a</w:t>
            </w:r>
            <w:r w:rsidR="002051F9" w:rsidRPr="008969F2">
              <w:rPr>
                <w:rFonts w:cs="Arial"/>
                <w:szCs w:val="24"/>
              </w:rPr>
              <w:t xml:space="preserve"> participação, proteção e defesa dos direitos do usuário dos serviços públicos da administração pública. Em </w:t>
            </w:r>
            <w:r w:rsidR="002051F9" w:rsidRPr="008969F2">
              <w:rPr>
                <w:rFonts w:cs="Arial"/>
                <w:szCs w:val="24"/>
              </w:rPr>
              <w:lastRenderedPageBreak/>
              <w:t>seu artigo 5º</w:t>
            </w:r>
            <w:r w:rsidR="006237AD" w:rsidRPr="008969F2">
              <w:rPr>
                <w:rFonts w:cs="Arial"/>
                <w:szCs w:val="24"/>
              </w:rPr>
              <w:t>, IX</w:t>
            </w:r>
            <w:r w:rsidR="002051F9" w:rsidRPr="008969F2">
              <w:rPr>
                <w:rFonts w:cs="Arial"/>
                <w:szCs w:val="24"/>
              </w:rPr>
              <w:t xml:space="preserve"> a Lei 13.460/2017 também </w:t>
            </w:r>
            <w:r w:rsidR="002658D5" w:rsidRPr="008969F2">
              <w:rPr>
                <w:rFonts w:cs="Arial"/>
                <w:szCs w:val="24"/>
              </w:rPr>
              <w:t>indica</w:t>
            </w:r>
            <w:r w:rsidR="002051F9" w:rsidRPr="008969F2">
              <w:rPr>
                <w:rFonts w:cs="Arial"/>
                <w:szCs w:val="24"/>
              </w:rPr>
              <w:t xml:space="preserve"> que a autenticação de documentos deverá ser feita pelo próprio agente público, à vista dos originais apresentados pelo usuário, sendo vedada a exigência de reconhecimento de firma, salvo em caso de dúvida de autenticidade.</w:t>
            </w:r>
            <w:r w:rsidR="00D45EC6" w:rsidRPr="008969F2">
              <w:rPr>
                <w:rFonts w:cs="Arial"/>
                <w:szCs w:val="24"/>
              </w:rPr>
              <w:t xml:space="preserve"> Vale registrar que a previsão legal para exigência de reconhecimento de firma em procuração, constante do artigo 158 da Lei 6.015/1973, é aplicável tão somente à hipótese de registro do documento em junto ao Registro de Título e Documentos (RTD), não sendo este o caso.</w:t>
            </w:r>
          </w:p>
        </w:tc>
      </w:tr>
      <w:tr w:rsidR="00BC0BC7" w:rsidRPr="008969F2" w:rsidTr="00335228">
        <w:trPr>
          <w:trHeight w:val="2268"/>
        </w:trPr>
        <w:tc>
          <w:tcPr>
            <w:tcW w:w="542" w:type="pct"/>
            <w:vAlign w:val="center"/>
          </w:tcPr>
          <w:p w:rsidR="00BC0BC7" w:rsidRPr="008969F2" w:rsidRDefault="00BC0BC7" w:rsidP="00025ACA">
            <w:pPr>
              <w:pStyle w:val="Legenda"/>
              <w:jc w:val="center"/>
              <w:rPr>
                <w:rFonts w:cs="Arial"/>
                <w:color w:val="000000" w:themeColor="text1"/>
                <w:szCs w:val="24"/>
              </w:rPr>
            </w:pPr>
            <w:r w:rsidRPr="008969F2">
              <w:rPr>
                <w:rFonts w:cs="Arial"/>
                <w:color w:val="000000" w:themeColor="text1"/>
                <w:szCs w:val="24"/>
              </w:rPr>
              <w:lastRenderedPageBreak/>
              <w:t>Pré-edital</w:t>
            </w:r>
          </w:p>
        </w:tc>
        <w:tc>
          <w:tcPr>
            <w:tcW w:w="528" w:type="pct"/>
            <w:vAlign w:val="center"/>
          </w:tcPr>
          <w:p w:rsidR="00BC0BC7" w:rsidRPr="008969F2" w:rsidRDefault="00BC0BC7" w:rsidP="00BC0BC7">
            <w:pPr>
              <w:pStyle w:val="Legenda"/>
              <w:jc w:val="center"/>
              <w:rPr>
                <w:rFonts w:cs="Arial"/>
                <w:color w:val="000000" w:themeColor="text1"/>
                <w:szCs w:val="24"/>
              </w:rPr>
            </w:pPr>
            <w:r w:rsidRPr="008969F2">
              <w:rPr>
                <w:rFonts w:cs="Arial"/>
                <w:color w:val="000000" w:themeColor="text1"/>
                <w:szCs w:val="24"/>
              </w:rPr>
              <w:t>Alteração</w:t>
            </w:r>
          </w:p>
        </w:tc>
        <w:tc>
          <w:tcPr>
            <w:tcW w:w="695" w:type="pct"/>
            <w:vAlign w:val="center"/>
          </w:tcPr>
          <w:p w:rsidR="00BC0BC7" w:rsidRPr="008969F2" w:rsidRDefault="00BC0BC7" w:rsidP="000C0894">
            <w:pPr>
              <w:pStyle w:val="Legenda"/>
              <w:jc w:val="center"/>
              <w:rPr>
                <w:rFonts w:cs="Arial"/>
                <w:color w:val="000000" w:themeColor="text1"/>
                <w:szCs w:val="24"/>
              </w:rPr>
            </w:pPr>
            <w:r w:rsidRPr="008969F2">
              <w:rPr>
                <w:rFonts w:cs="Arial"/>
                <w:color w:val="000000" w:themeColor="text1"/>
                <w:szCs w:val="24"/>
              </w:rPr>
              <w:t>4.3.2</w:t>
            </w:r>
          </w:p>
        </w:tc>
        <w:tc>
          <w:tcPr>
            <w:tcW w:w="1667" w:type="pct"/>
            <w:vAlign w:val="center"/>
          </w:tcPr>
          <w:p w:rsidR="00BC0BC7" w:rsidRPr="008969F2" w:rsidRDefault="00BC0BC7" w:rsidP="00FB0E61">
            <w:pPr>
              <w:pStyle w:val="Legenda"/>
              <w:jc w:val="both"/>
              <w:rPr>
                <w:rFonts w:cs="Arial"/>
                <w:color w:val="000000" w:themeColor="text1"/>
                <w:szCs w:val="24"/>
              </w:rPr>
            </w:pPr>
            <w:r w:rsidRPr="008969F2">
              <w:rPr>
                <w:rFonts w:cs="Arial"/>
                <w:szCs w:val="24"/>
              </w:rPr>
              <w:t>A interessada deverá nomear representante credenciado perante a ANP por meio de procuração, nos termos do ANEXO VI, assinada por seus representantes legais com poderes para constituírem procuradores.</w:t>
            </w:r>
          </w:p>
        </w:tc>
        <w:tc>
          <w:tcPr>
            <w:tcW w:w="1568" w:type="pct"/>
            <w:vAlign w:val="center"/>
          </w:tcPr>
          <w:p w:rsidR="00BC0BC7" w:rsidRPr="008969F2" w:rsidRDefault="00BC0BC7" w:rsidP="00BC0BC7">
            <w:pPr>
              <w:pStyle w:val="Legenda"/>
              <w:jc w:val="both"/>
              <w:rPr>
                <w:rFonts w:cs="Arial"/>
                <w:szCs w:val="24"/>
              </w:rPr>
            </w:pPr>
            <w:r w:rsidRPr="008969F2">
              <w:rPr>
                <w:rFonts w:cs="Arial"/>
                <w:szCs w:val="24"/>
              </w:rPr>
              <w:t xml:space="preserve">Em 17 de julho de 2017 entrou em vigor no Brasil o Decreto 9094 que dispõe sobre a simplificação do atendimento prestado aos usuários dos serviços públicos, o qual ratifica a dispensa do reconhecimento de firma e da autenticação em documentos produzidos no País, de modo que sugerimos a exclusão do trecho "e devidamente notarizada" ao final do item ora comentado. O artigo 9º do Decreto 9094/2017 é claro ao indicar que fica dispensado o reconhecimento de firma e a autenticação de cópia dos documentos expedidos no País e </w:t>
            </w:r>
            <w:r w:rsidRPr="008969F2">
              <w:rPr>
                <w:rFonts w:cs="Arial"/>
                <w:szCs w:val="24"/>
              </w:rPr>
              <w:lastRenderedPageBreak/>
              <w:t>destinados a fazer prova junto a órgãos e entidades do Poder Executivo federal, exceto se existir dúvida fundada quanto à autenticidade ou previsão legal. No mesmo sentido é a Lei 13.460/2017, que dispõe sobre a participação, proteção e defesa dos direitos do usuário dos serviços públicos da administração pública. Em seu artigo 5º, IX a Lei 13.460/2017 também indica que a autenticação de documentos deverá ser feita pelo próprio agente público, à vista dos originais apresentados pelo usuário, sendo vedada a exigência de reconhecimento de firma, salvo em caso de dúvida de autenticidade. Vale registrar que a previsão legal para exigência de reconhecimento de firma em procuração, constante do artigo 158 da Lei 6.015/1973, é aplicável tão somente à hipótese de registro do documento em junto ao Registro de Título e Documentos (RTD), não sendo este o caso.</w:t>
            </w:r>
          </w:p>
        </w:tc>
      </w:tr>
      <w:tr w:rsidR="003157F7" w:rsidRPr="008969F2" w:rsidTr="00335228">
        <w:trPr>
          <w:trHeight w:val="2268"/>
        </w:trPr>
        <w:tc>
          <w:tcPr>
            <w:tcW w:w="542" w:type="pct"/>
            <w:vAlign w:val="center"/>
          </w:tcPr>
          <w:p w:rsidR="003157F7" w:rsidRPr="008969F2" w:rsidRDefault="003157F7" w:rsidP="00025ACA">
            <w:pPr>
              <w:pStyle w:val="Legenda"/>
              <w:jc w:val="center"/>
              <w:rPr>
                <w:rFonts w:cs="Arial"/>
                <w:color w:val="000000" w:themeColor="text1"/>
                <w:szCs w:val="24"/>
              </w:rPr>
            </w:pPr>
            <w:r w:rsidRPr="008969F2">
              <w:rPr>
                <w:rFonts w:cs="Arial"/>
                <w:color w:val="000000" w:themeColor="text1"/>
                <w:szCs w:val="24"/>
              </w:rPr>
              <w:lastRenderedPageBreak/>
              <w:t>Pré-edital</w:t>
            </w:r>
          </w:p>
        </w:tc>
        <w:tc>
          <w:tcPr>
            <w:tcW w:w="528" w:type="pct"/>
            <w:vAlign w:val="center"/>
          </w:tcPr>
          <w:p w:rsidR="003157F7" w:rsidRPr="008969F2" w:rsidRDefault="003157F7" w:rsidP="000C0894">
            <w:pPr>
              <w:pStyle w:val="Legenda"/>
              <w:jc w:val="center"/>
              <w:rPr>
                <w:rFonts w:cs="Arial"/>
                <w:color w:val="000000" w:themeColor="text1"/>
                <w:szCs w:val="24"/>
              </w:rPr>
            </w:pPr>
            <w:r w:rsidRPr="008969F2">
              <w:rPr>
                <w:rFonts w:cs="Arial"/>
                <w:color w:val="000000" w:themeColor="text1"/>
                <w:szCs w:val="24"/>
              </w:rPr>
              <w:t>Exclusão</w:t>
            </w:r>
          </w:p>
        </w:tc>
        <w:tc>
          <w:tcPr>
            <w:tcW w:w="695" w:type="pct"/>
            <w:vAlign w:val="center"/>
          </w:tcPr>
          <w:p w:rsidR="003157F7" w:rsidRPr="008969F2" w:rsidRDefault="003157F7" w:rsidP="00FB0E61">
            <w:pPr>
              <w:rPr>
                <w:rFonts w:ascii="Arial" w:hAnsi="Arial" w:cs="Arial"/>
                <w:color w:val="000000" w:themeColor="text1"/>
                <w:sz w:val="24"/>
                <w:szCs w:val="24"/>
              </w:rPr>
            </w:pPr>
            <w:r w:rsidRPr="008969F2">
              <w:rPr>
                <w:rFonts w:ascii="Arial" w:hAnsi="Arial" w:cs="Arial"/>
                <w:color w:val="000000" w:themeColor="text1"/>
                <w:sz w:val="24"/>
                <w:szCs w:val="24"/>
              </w:rPr>
              <w:t>Tabela 5</w:t>
            </w:r>
            <w:r w:rsidR="00FB0E61" w:rsidRPr="008969F2">
              <w:rPr>
                <w:rFonts w:ascii="Arial" w:hAnsi="Arial" w:cs="Arial"/>
                <w:color w:val="000000" w:themeColor="text1"/>
                <w:sz w:val="24"/>
                <w:szCs w:val="24"/>
              </w:rPr>
              <w:t xml:space="preserve"> A;</w:t>
            </w:r>
            <w:r w:rsidRPr="008969F2">
              <w:rPr>
                <w:rFonts w:ascii="Arial" w:hAnsi="Arial" w:cs="Arial"/>
                <w:color w:val="000000" w:themeColor="text1"/>
                <w:sz w:val="24"/>
                <w:szCs w:val="24"/>
              </w:rPr>
              <w:t xml:space="preserve"> Nota: 2. </w:t>
            </w:r>
          </w:p>
        </w:tc>
        <w:tc>
          <w:tcPr>
            <w:tcW w:w="1667" w:type="pct"/>
            <w:vAlign w:val="center"/>
          </w:tcPr>
          <w:p w:rsidR="003157F7" w:rsidRPr="008969F2" w:rsidRDefault="003157F7" w:rsidP="000C0894">
            <w:pPr>
              <w:pStyle w:val="Legenda"/>
              <w:jc w:val="both"/>
              <w:rPr>
                <w:rFonts w:cs="Arial"/>
                <w:color w:val="000000" w:themeColor="text1"/>
                <w:szCs w:val="24"/>
              </w:rPr>
            </w:pPr>
          </w:p>
        </w:tc>
        <w:tc>
          <w:tcPr>
            <w:tcW w:w="1568" w:type="pct"/>
            <w:vAlign w:val="center"/>
          </w:tcPr>
          <w:p w:rsidR="003157F7" w:rsidRPr="008969F2" w:rsidRDefault="003157F7" w:rsidP="003157F7">
            <w:pPr>
              <w:pStyle w:val="Legenda"/>
              <w:jc w:val="both"/>
              <w:rPr>
                <w:rFonts w:cs="Arial"/>
                <w:szCs w:val="24"/>
              </w:rPr>
            </w:pPr>
            <w:r w:rsidRPr="008969F2">
              <w:rPr>
                <w:rFonts w:cs="Arial"/>
                <w:szCs w:val="24"/>
              </w:rPr>
              <w:t>Em 17 de julho de 2017 entrou em vigor no Brasil o Decreto 9094 que dispõe sobre a simplificação do atendimento prestado aos usuários dos serviços públicos, o qual ratifica a dispensa do reconhecimento de firma e da autenticação em documentos produzidos no País</w:t>
            </w:r>
            <w:r w:rsidR="001C12CF" w:rsidRPr="008969F2">
              <w:rPr>
                <w:rFonts w:cs="Arial"/>
                <w:szCs w:val="24"/>
              </w:rPr>
              <w:t>, razão pela qual sugerimos a exclusão da Nota 2 da Tabela 5 A do pré-edital</w:t>
            </w:r>
            <w:r w:rsidRPr="008969F2">
              <w:rPr>
                <w:rFonts w:cs="Arial"/>
                <w:szCs w:val="24"/>
              </w:rPr>
              <w:t xml:space="preserve">. O artigo 9º do Decreto 9094/2017 é claro ao indicar que fica dispensado o reconhecimento de firma e a autenticação de cópia dos documentos expedidos no País e destinados a fazer prova junto a órgãos e entidades do Poder Executivo federal, exceto se existir dúvida fundada quanto à autenticidade ou previsão legal. No mesmo sentido é a Lei 13.460/2017, que dispõe sobre a participação, proteção e defesa dos direitos do usuário dos serviços públicos da administração pública. Em seu artigo 5º, IX a Lei 13.460/2017 também indica que a autenticação de documentos deverá ser feita pelo próprio agente público, à vista dos originais apresentados pelo usuário, sendo vedada a exigência de reconhecimento de firma, salvo em caso de dúvida de autenticidade. Vale </w:t>
            </w:r>
            <w:r w:rsidRPr="008969F2">
              <w:rPr>
                <w:rFonts w:cs="Arial"/>
                <w:szCs w:val="24"/>
              </w:rPr>
              <w:lastRenderedPageBreak/>
              <w:t>registrar que a previsão legal para exigência de reconhecimento de firma em procuração, constante do artigo 158 da Lei 6.015/1973, é aplicável tão somente à hipótese de registro do documento em junto ao Registro de Título e Documentos (RTD), não sendo este o caso.</w:t>
            </w:r>
          </w:p>
        </w:tc>
      </w:tr>
      <w:tr w:rsidR="001C12CF" w:rsidRPr="008969F2" w:rsidTr="00335228">
        <w:trPr>
          <w:trHeight w:val="2268"/>
        </w:trPr>
        <w:tc>
          <w:tcPr>
            <w:tcW w:w="542" w:type="pct"/>
            <w:vAlign w:val="center"/>
          </w:tcPr>
          <w:p w:rsidR="001C12CF" w:rsidRPr="008969F2" w:rsidRDefault="001C12CF" w:rsidP="00025ACA">
            <w:pPr>
              <w:pStyle w:val="Legenda"/>
              <w:jc w:val="center"/>
              <w:rPr>
                <w:rFonts w:cs="Arial"/>
                <w:color w:val="000000" w:themeColor="text1"/>
                <w:szCs w:val="24"/>
              </w:rPr>
            </w:pPr>
            <w:r w:rsidRPr="008969F2">
              <w:rPr>
                <w:rFonts w:cs="Arial"/>
                <w:color w:val="000000" w:themeColor="text1"/>
                <w:szCs w:val="24"/>
              </w:rPr>
              <w:lastRenderedPageBreak/>
              <w:t>Pré-edital</w:t>
            </w:r>
          </w:p>
        </w:tc>
        <w:tc>
          <w:tcPr>
            <w:tcW w:w="528" w:type="pct"/>
            <w:vAlign w:val="center"/>
          </w:tcPr>
          <w:p w:rsidR="001C12CF" w:rsidRPr="008969F2" w:rsidRDefault="001C12CF" w:rsidP="001C12CF">
            <w:pPr>
              <w:pStyle w:val="Legenda"/>
              <w:jc w:val="center"/>
              <w:rPr>
                <w:rFonts w:cs="Arial"/>
                <w:color w:val="000000" w:themeColor="text1"/>
                <w:szCs w:val="24"/>
              </w:rPr>
            </w:pPr>
            <w:r w:rsidRPr="008969F2">
              <w:rPr>
                <w:rFonts w:cs="Arial"/>
                <w:color w:val="000000" w:themeColor="text1"/>
                <w:szCs w:val="24"/>
              </w:rPr>
              <w:t>Exclusão</w:t>
            </w:r>
          </w:p>
        </w:tc>
        <w:tc>
          <w:tcPr>
            <w:tcW w:w="695" w:type="pct"/>
            <w:vAlign w:val="center"/>
          </w:tcPr>
          <w:p w:rsidR="001C12CF" w:rsidRPr="008969F2" w:rsidRDefault="00FB0E61" w:rsidP="001C12CF">
            <w:pPr>
              <w:rPr>
                <w:rFonts w:ascii="Arial" w:hAnsi="Arial" w:cs="Arial"/>
                <w:strike/>
                <w:color w:val="FF0000"/>
                <w:sz w:val="24"/>
                <w:szCs w:val="24"/>
              </w:rPr>
            </w:pPr>
            <w:r w:rsidRPr="008969F2">
              <w:rPr>
                <w:rFonts w:ascii="Arial" w:hAnsi="Arial" w:cs="Arial"/>
                <w:color w:val="000000" w:themeColor="text1"/>
                <w:sz w:val="24"/>
                <w:szCs w:val="24"/>
              </w:rPr>
              <w:t>Tabela 5 B;</w:t>
            </w:r>
            <w:r w:rsidR="001C12CF" w:rsidRPr="008969F2">
              <w:rPr>
                <w:rFonts w:ascii="Arial" w:hAnsi="Arial" w:cs="Arial"/>
                <w:color w:val="000000" w:themeColor="text1"/>
                <w:sz w:val="24"/>
                <w:szCs w:val="24"/>
              </w:rPr>
              <w:t xml:space="preserve"> Nota: 2. </w:t>
            </w:r>
          </w:p>
          <w:p w:rsidR="001C12CF" w:rsidRPr="008969F2" w:rsidRDefault="001C12CF" w:rsidP="001C12CF">
            <w:pPr>
              <w:pStyle w:val="Legenda"/>
              <w:jc w:val="center"/>
              <w:rPr>
                <w:rFonts w:cs="Arial"/>
                <w:color w:val="000000" w:themeColor="text1"/>
                <w:szCs w:val="24"/>
              </w:rPr>
            </w:pPr>
          </w:p>
        </w:tc>
        <w:tc>
          <w:tcPr>
            <w:tcW w:w="1667" w:type="pct"/>
            <w:vAlign w:val="center"/>
          </w:tcPr>
          <w:p w:rsidR="001C12CF" w:rsidRPr="008969F2" w:rsidRDefault="001C12CF" w:rsidP="001C12CF">
            <w:pPr>
              <w:pStyle w:val="Legenda"/>
              <w:jc w:val="both"/>
              <w:rPr>
                <w:rFonts w:cs="Arial"/>
                <w:color w:val="000000" w:themeColor="text1"/>
                <w:szCs w:val="24"/>
              </w:rPr>
            </w:pPr>
          </w:p>
        </w:tc>
        <w:tc>
          <w:tcPr>
            <w:tcW w:w="1568" w:type="pct"/>
            <w:vAlign w:val="center"/>
          </w:tcPr>
          <w:p w:rsidR="001C12CF" w:rsidRPr="008969F2" w:rsidRDefault="001C12CF" w:rsidP="001C12CF">
            <w:pPr>
              <w:pStyle w:val="Legenda"/>
              <w:jc w:val="both"/>
              <w:rPr>
                <w:rFonts w:cs="Arial"/>
                <w:szCs w:val="24"/>
              </w:rPr>
            </w:pPr>
            <w:r w:rsidRPr="008969F2">
              <w:rPr>
                <w:rFonts w:cs="Arial"/>
                <w:szCs w:val="24"/>
              </w:rPr>
              <w:t xml:space="preserve">Em 17 de julho de 2017 entrou em vigor no Brasil o Decreto 9094 que dispõe sobre a simplificação do atendimento prestado aos usuários dos serviços públicos, o qual ratifica a dispensa do reconhecimento de firma e da autenticação em documentos produzidos no País, razão pela qual sugerimos a exclusão da Nota 2 da Tabela 5 B do pré-edital. O artigo 9º do Decreto 9094/2017 é claro ao indicar que fica dispensado o reconhecimento de firma e a autenticação de cópia dos documentos expedidos no País e destinados a fazer prova junto a órgãos e entidades do Poder Executivo federal, exceto se existir dúvida fundada quanto à autenticidade ou previsão legal. No mesmo sentido é a Lei 13.460/2017, que dispõe sobre a participação, proteção e defesa dos direitos do usuário dos serviços públicos da administração pública. Em </w:t>
            </w:r>
            <w:r w:rsidRPr="008969F2">
              <w:rPr>
                <w:rFonts w:cs="Arial"/>
                <w:szCs w:val="24"/>
              </w:rPr>
              <w:lastRenderedPageBreak/>
              <w:t>seu artigo 5º, IX a Lei 13.460/2017 também indica que a autenticação de documentos deverá ser feita pelo próprio agente público, à vista dos originais apresentados pelo usuário, sendo vedada a exigência de reconhecimento de firma, salvo em caso de dúvida de autenticidade. Vale registrar que a previsão legal para exigência de reconhecimento de firma em procuração, constante do artigo 158 da Lei 6.015/1973, é aplicável tão somente à hipótese de registro do documento em junto ao Registro de Título e Documentos (RTD), não sendo este o caso.</w:t>
            </w:r>
          </w:p>
        </w:tc>
      </w:tr>
      <w:tr w:rsidR="0009430E" w:rsidRPr="008969F2" w:rsidTr="00335228">
        <w:trPr>
          <w:trHeight w:val="2268"/>
        </w:trPr>
        <w:tc>
          <w:tcPr>
            <w:tcW w:w="542" w:type="pct"/>
            <w:vAlign w:val="center"/>
          </w:tcPr>
          <w:p w:rsidR="0009430E" w:rsidRPr="008969F2" w:rsidRDefault="0009430E" w:rsidP="000E7BC7">
            <w:pPr>
              <w:pStyle w:val="Legenda"/>
              <w:jc w:val="center"/>
              <w:rPr>
                <w:rFonts w:cs="Arial"/>
                <w:color w:val="000000" w:themeColor="text1"/>
                <w:szCs w:val="24"/>
              </w:rPr>
            </w:pPr>
            <w:r w:rsidRPr="008969F2">
              <w:rPr>
                <w:rFonts w:cs="Arial"/>
                <w:color w:val="000000" w:themeColor="text1"/>
                <w:szCs w:val="24"/>
              </w:rPr>
              <w:lastRenderedPageBreak/>
              <w:t>Pré-edital</w:t>
            </w:r>
            <w:r w:rsidR="00FB0E61" w:rsidRPr="008969F2">
              <w:rPr>
                <w:rFonts w:cs="Arial"/>
                <w:color w:val="000000" w:themeColor="text1"/>
                <w:szCs w:val="24"/>
              </w:rPr>
              <w:t xml:space="preserve"> </w:t>
            </w:r>
          </w:p>
        </w:tc>
        <w:tc>
          <w:tcPr>
            <w:tcW w:w="528" w:type="pct"/>
            <w:vAlign w:val="center"/>
          </w:tcPr>
          <w:p w:rsidR="0009430E" w:rsidRPr="008969F2" w:rsidRDefault="0009430E" w:rsidP="00871058">
            <w:pPr>
              <w:pStyle w:val="Legenda"/>
              <w:jc w:val="center"/>
              <w:rPr>
                <w:rFonts w:cs="Arial"/>
                <w:color w:val="000000" w:themeColor="text1"/>
                <w:szCs w:val="24"/>
              </w:rPr>
            </w:pPr>
            <w:r w:rsidRPr="008969F2">
              <w:rPr>
                <w:rFonts w:cs="Arial"/>
                <w:color w:val="000000" w:themeColor="text1"/>
                <w:szCs w:val="24"/>
              </w:rPr>
              <w:t xml:space="preserve">Alteração </w:t>
            </w:r>
          </w:p>
        </w:tc>
        <w:tc>
          <w:tcPr>
            <w:tcW w:w="695" w:type="pct"/>
            <w:vAlign w:val="center"/>
          </w:tcPr>
          <w:p w:rsidR="0009430E" w:rsidRPr="008969F2" w:rsidRDefault="0009430E" w:rsidP="00871058">
            <w:pPr>
              <w:pStyle w:val="Legenda"/>
              <w:jc w:val="center"/>
              <w:rPr>
                <w:rFonts w:cs="Arial"/>
                <w:color w:val="000000" w:themeColor="text1"/>
                <w:szCs w:val="24"/>
              </w:rPr>
            </w:pPr>
            <w:r w:rsidRPr="008969F2">
              <w:rPr>
                <w:rFonts w:cs="Arial"/>
                <w:color w:val="000000" w:themeColor="text1"/>
                <w:szCs w:val="24"/>
              </w:rPr>
              <w:t>6.4, l)</w:t>
            </w:r>
          </w:p>
        </w:tc>
        <w:tc>
          <w:tcPr>
            <w:tcW w:w="1667" w:type="pct"/>
            <w:vAlign w:val="center"/>
          </w:tcPr>
          <w:p w:rsidR="0009430E" w:rsidRPr="008969F2" w:rsidRDefault="0009430E" w:rsidP="00FB0E61">
            <w:pPr>
              <w:pStyle w:val="Legenda"/>
              <w:jc w:val="both"/>
              <w:rPr>
                <w:rFonts w:cs="Arial"/>
                <w:color w:val="000000" w:themeColor="text1"/>
                <w:szCs w:val="24"/>
              </w:rPr>
            </w:pPr>
            <w:r w:rsidRPr="008969F2">
              <w:rPr>
                <w:rFonts w:cs="Arial"/>
                <w:szCs w:val="24"/>
              </w:rPr>
              <w:t>a</w:t>
            </w:r>
            <w:r w:rsidRPr="008969F2">
              <w:rPr>
                <w:rFonts w:cs="Arial"/>
                <w:color w:val="000000" w:themeColor="text1"/>
                <w:szCs w:val="24"/>
              </w:rPr>
              <w:t xml:space="preserve"> limitação do item acima é estendida para licitantes integrantes de um mesmo grupo societário, e para licitantes que tenham administradores, diretores, sócios ou representantes credenciados comuns, exceto se demonstrado que não agem representando interesse societário em comum. Caso sejam identificadas licitantes que possam estar enquadradas nesta situação, a CEL decidirá se estas licitantes poderão fazer ofertas para os mesmos blocos, levando em conta a promoção da competitividade do certame;</w:t>
            </w:r>
          </w:p>
        </w:tc>
        <w:tc>
          <w:tcPr>
            <w:tcW w:w="1568" w:type="pct"/>
            <w:vAlign w:val="center"/>
          </w:tcPr>
          <w:p w:rsidR="0009430E" w:rsidRPr="008969F2" w:rsidRDefault="003534A9" w:rsidP="000E7BC7">
            <w:pPr>
              <w:pStyle w:val="Legenda"/>
              <w:jc w:val="both"/>
              <w:rPr>
                <w:rFonts w:cs="Arial"/>
                <w:color w:val="000000" w:themeColor="text1"/>
                <w:szCs w:val="24"/>
              </w:rPr>
            </w:pPr>
            <w:r w:rsidRPr="008969F2">
              <w:rPr>
                <w:rFonts w:cs="Arial"/>
                <w:color w:val="000000" w:themeColor="text1"/>
                <w:szCs w:val="24"/>
              </w:rPr>
              <w:t>O uso de conceitos abrangentes</w:t>
            </w:r>
            <w:r w:rsidR="00ED6E0A" w:rsidRPr="008969F2">
              <w:rPr>
                <w:rFonts w:cs="Arial"/>
                <w:color w:val="000000" w:themeColor="text1"/>
                <w:szCs w:val="24"/>
              </w:rPr>
              <w:t xml:space="preserve"> e indefinidos, tais como "</w:t>
            </w:r>
            <w:r w:rsidR="00FB0E61" w:rsidRPr="008969F2">
              <w:rPr>
                <w:rFonts w:cs="Arial"/>
                <w:color w:val="000000" w:themeColor="text1"/>
                <w:szCs w:val="24"/>
              </w:rPr>
              <w:t xml:space="preserve">que utilizem </w:t>
            </w:r>
            <w:r w:rsidR="00ED6E0A" w:rsidRPr="008969F2">
              <w:rPr>
                <w:rFonts w:cs="Arial"/>
                <w:color w:val="000000" w:themeColor="text1"/>
                <w:szCs w:val="24"/>
              </w:rPr>
              <w:t xml:space="preserve">recursos materiais tecnológicos ou humanos em comum" </w:t>
            </w:r>
            <w:r w:rsidRPr="008969F2">
              <w:rPr>
                <w:rFonts w:cs="Arial"/>
                <w:color w:val="000000" w:themeColor="text1"/>
                <w:szCs w:val="24"/>
              </w:rPr>
              <w:t>deve ser evitado sob pena de colocar em risco a segurança jurídica dos licitantes</w:t>
            </w:r>
            <w:r w:rsidR="00ED6E0A" w:rsidRPr="008969F2">
              <w:rPr>
                <w:rFonts w:cs="Arial"/>
                <w:color w:val="000000" w:themeColor="text1"/>
                <w:szCs w:val="24"/>
              </w:rPr>
              <w:t xml:space="preserve">. </w:t>
            </w:r>
            <w:r w:rsidR="005A3CFC" w:rsidRPr="008969F2">
              <w:rPr>
                <w:rFonts w:cs="Arial"/>
                <w:color w:val="000000" w:themeColor="text1"/>
                <w:szCs w:val="24"/>
              </w:rPr>
              <w:t xml:space="preserve">É sabido que na indústria do Petróleo a execução das atividades de exploração e produção é </w:t>
            </w:r>
            <w:r w:rsidR="005C6E8E" w:rsidRPr="008969F2">
              <w:rPr>
                <w:rFonts w:cs="Arial"/>
                <w:color w:val="000000" w:themeColor="text1"/>
                <w:szCs w:val="24"/>
              </w:rPr>
              <w:t>usualmente</w:t>
            </w:r>
            <w:r w:rsidR="005A3CFC" w:rsidRPr="008969F2">
              <w:rPr>
                <w:rFonts w:cs="Arial"/>
                <w:color w:val="000000" w:themeColor="text1"/>
                <w:szCs w:val="24"/>
              </w:rPr>
              <w:t xml:space="preserve"> realizada através de cons</w:t>
            </w:r>
            <w:r w:rsidR="00BE400D" w:rsidRPr="008969F2">
              <w:rPr>
                <w:rFonts w:cs="Arial"/>
                <w:color w:val="000000" w:themeColor="text1"/>
                <w:szCs w:val="24"/>
              </w:rPr>
              <w:t>órcio de empresas</w:t>
            </w:r>
            <w:r w:rsidR="005A3CFC" w:rsidRPr="008969F2">
              <w:rPr>
                <w:rFonts w:cs="Arial"/>
                <w:color w:val="000000" w:themeColor="text1"/>
                <w:szCs w:val="24"/>
              </w:rPr>
              <w:t xml:space="preserve"> que</w:t>
            </w:r>
            <w:r w:rsidR="006914CB" w:rsidRPr="008969F2">
              <w:rPr>
                <w:rFonts w:cs="Arial"/>
                <w:color w:val="000000" w:themeColor="text1"/>
                <w:szCs w:val="24"/>
              </w:rPr>
              <w:t>,</w:t>
            </w:r>
            <w:r w:rsidR="005A3CFC" w:rsidRPr="008969F2">
              <w:rPr>
                <w:rFonts w:cs="Arial"/>
                <w:color w:val="000000" w:themeColor="text1"/>
                <w:szCs w:val="24"/>
              </w:rPr>
              <w:t xml:space="preserve"> no âmbito do</w:t>
            </w:r>
            <w:r w:rsidR="00BE400D" w:rsidRPr="008969F2">
              <w:rPr>
                <w:rFonts w:cs="Arial"/>
                <w:color w:val="000000" w:themeColor="text1"/>
                <w:szCs w:val="24"/>
              </w:rPr>
              <w:t>s respectivos</w:t>
            </w:r>
            <w:r w:rsidR="005A3CFC" w:rsidRPr="008969F2">
              <w:rPr>
                <w:rFonts w:cs="Arial"/>
                <w:color w:val="000000" w:themeColor="text1"/>
                <w:szCs w:val="24"/>
              </w:rPr>
              <w:t xml:space="preserve"> consórcio</w:t>
            </w:r>
            <w:r w:rsidR="00BE400D" w:rsidRPr="008969F2">
              <w:rPr>
                <w:rFonts w:cs="Arial"/>
                <w:color w:val="000000" w:themeColor="text1"/>
                <w:szCs w:val="24"/>
              </w:rPr>
              <w:t>s</w:t>
            </w:r>
            <w:r w:rsidR="006914CB" w:rsidRPr="008969F2">
              <w:rPr>
                <w:rFonts w:cs="Arial"/>
                <w:color w:val="000000" w:themeColor="text1"/>
                <w:szCs w:val="24"/>
              </w:rPr>
              <w:t>,</w:t>
            </w:r>
            <w:r w:rsidR="005A3CFC" w:rsidRPr="008969F2">
              <w:rPr>
                <w:rFonts w:cs="Arial"/>
                <w:color w:val="000000" w:themeColor="text1"/>
                <w:szCs w:val="24"/>
              </w:rPr>
              <w:t xml:space="preserve"> </w:t>
            </w:r>
            <w:r w:rsidR="006914CB" w:rsidRPr="008969F2">
              <w:rPr>
                <w:rFonts w:cs="Arial"/>
                <w:color w:val="000000" w:themeColor="text1"/>
                <w:szCs w:val="24"/>
              </w:rPr>
              <w:t>detêm ativos (i.e. recursos materiais e/ou tecnológicos) em comum</w:t>
            </w:r>
            <w:r w:rsidR="005A3CFC" w:rsidRPr="008969F2">
              <w:rPr>
                <w:rFonts w:cs="Arial"/>
                <w:color w:val="000000" w:themeColor="text1"/>
                <w:szCs w:val="24"/>
              </w:rPr>
              <w:t>.</w:t>
            </w:r>
            <w:r w:rsidR="005C6E8E" w:rsidRPr="008969F2">
              <w:rPr>
                <w:rFonts w:cs="Arial"/>
                <w:color w:val="000000" w:themeColor="text1"/>
                <w:szCs w:val="24"/>
              </w:rPr>
              <w:t xml:space="preserve"> Neste sentido, de acordo com a redação original do item em comento, as </w:t>
            </w:r>
            <w:r w:rsidR="005C6E8E" w:rsidRPr="008969F2">
              <w:rPr>
                <w:rFonts w:cs="Arial"/>
                <w:color w:val="000000" w:themeColor="text1"/>
                <w:szCs w:val="24"/>
              </w:rPr>
              <w:lastRenderedPageBreak/>
              <w:t>empresas consorciadas estariam, em tese, impedidas de apresentar propostas para um mesmo bloco.</w:t>
            </w:r>
            <w:r w:rsidR="00F17272" w:rsidRPr="008969F2">
              <w:rPr>
                <w:rFonts w:cs="Arial"/>
                <w:color w:val="000000" w:themeColor="text1"/>
                <w:szCs w:val="24"/>
              </w:rPr>
              <w:t xml:space="preserve"> Apesar de essa interpretação </w:t>
            </w:r>
            <w:r w:rsidR="006914CB" w:rsidRPr="008969F2">
              <w:rPr>
                <w:rFonts w:cs="Arial"/>
                <w:color w:val="000000" w:themeColor="text1"/>
                <w:szCs w:val="24"/>
              </w:rPr>
              <w:t>parecer extrema</w:t>
            </w:r>
            <w:r w:rsidR="00F17272" w:rsidRPr="008969F2">
              <w:rPr>
                <w:rFonts w:cs="Arial"/>
                <w:color w:val="000000" w:themeColor="text1"/>
                <w:szCs w:val="24"/>
              </w:rPr>
              <w:t xml:space="preserve"> ela é possível considerando-se a forma como o item em comento está redigido e, sendo uma interpretação possível, ela é capaz de gerar insegurança e potencialmente afetar a decisão de participação no certame por parte das empresas petrolíferas.</w:t>
            </w:r>
          </w:p>
        </w:tc>
      </w:tr>
      <w:tr w:rsidR="003E5715" w:rsidRPr="008969F2" w:rsidTr="00335228">
        <w:trPr>
          <w:trHeight w:val="2268"/>
        </w:trPr>
        <w:tc>
          <w:tcPr>
            <w:tcW w:w="542" w:type="pct"/>
            <w:vAlign w:val="center"/>
          </w:tcPr>
          <w:p w:rsidR="003E5715" w:rsidRPr="008969F2" w:rsidRDefault="003E5715" w:rsidP="000E7BC7">
            <w:pPr>
              <w:pStyle w:val="Legenda"/>
              <w:jc w:val="center"/>
              <w:rPr>
                <w:rFonts w:cs="Arial"/>
                <w:color w:val="000000" w:themeColor="text1"/>
                <w:szCs w:val="24"/>
              </w:rPr>
            </w:pPr>
            <w:r w:rsidRPr="008969F2">
              <w:rPr>
                <w:rFonts w:cs="Arial"/>
                <w:color w:val="000000" w:themeColor="text1"/>
                <w:szCs w:val="24"/>
              </w:rPr>
              <w:lastRenderedPageBreak/>
              <w:t>Pré-edital</w:t>
            </w:r>
          </w:p>
        </w:tc>
        <w:tc>
          <w:tcPr>
            <w:tcW w:w="528" w:type="pct"/>
            <w:vAlign w:val="center"/>
          </w:tcPr>
          <w:p w:rsidR="003E5715" w:rsidRPr="008969F2" w:rsidRDefault="003E5715" w:rsidP="001C12CF">
            <w:pPr>
              <w:pStyle w:val="Legenda"/>
              <w:jc w:val="center"/>
              <w:rPr>
                <w:rFonts w:cs="Arial"/>
                <w:color w:val="000000" w:themeColor="text1"/>
                <w:szCs w:val="24"/>
              </w:rPr>
            </w:pPr>
            <w:r w:rsidRPr="008969F2">
              <w:rPr>
                <w:rFonts w:cs="Arial"/>
                <w:color w:val="000000" w:themeColor="text1"/>
                <w:szCs w:val="24"/>
              </w:rPr>
              <w:t>Exclusão</w:t>
            </w:r>
          </w:p>
        </w:tc>
        <w:tc>
          <w:tcPr>
            <w:tcW w:w="695" w:type="pct"/>
            <w:vAlign w:val="center"/>
          </w:tcPr>
          <w:p w:rsidR="003E5715" w:rsidRPr="008969F2" w:rsidRDefault="00A85EA2" w:rsidP="00A85EA2">
            <w:pPr>
              <w:rPr>
                <w:rFonts w:ascii="Arial" w:hAnsi="Arial" w:cs="Arial"/>
                <w:color w:val="000000" w:themeColor="text1"/>
                <w:sz w:val="24"/>
                <w:szCs w:val="24"/>
              </w:rPr>
            </w:pPr>
            <w:r w:rsidRPr="008969F2">
              <w:rPr>
                <w:rFonts w:ascii="Arial" w:hAnsi="Arial" w:cs="Arial"/>
                <w:color w:val="000000" w:themeColor="text1"/>
                <w:sz w:val="24"/>
                <w:szCs w:val="24"/>
              </w:rPr>
              <w:t xml:space="preserve">7.2, </w:t>
            </w:r>
            <w:r w:rsidR="00CB1AA4" w:rsidRPr="008969F2">
              <w:rPr>
                <w:rFonts w:ascii="Arial" w:hAnsi="Arial" w:cs="Arial"/>
                <w:color w:val="000000" w:themeColor="text1"/>
                <w:sz w:val="24"/>
                <w:szCs w:val="24"/>
              </w:rPr>
              <w:t>d.1); d.2); e d.3)</w:t>
            </w:r>
            <w:r w:rsidR="00FB0E61" w:rsidRPr="008969F2">
              <w:rPr>
                <w:rFonts w:ascii="Arial" w:hAnsi="Arial" w:cs="Arial"/>
                <w:color w:val="000000" w:themeColor="text1"/>
                <w:sz w:val="24"/>
                <w:szCs w:val="24"/>
              </w:rPr>
              <w:t>.</w:t>
            </w:r>
            <w:r w:rsidR="003E5715" w:rsidRPr="008969F2">
              <w:rPr>
                <w:rFonts w:ascii="Arial" w:hAnsi="Arial" w:cs="Arial"/>
                <w:strike/>
                <w:color w:val="FF0000"/>
                <w:sz w:val="24"/>
                <w:szCs w:val="24"/>
              </w:rPr>
              <w:t xml:space="preserve"> </w:t>
            </w:r>
          </w:p>
        </w:tc>
        <w:tc>
          <w:tcPr>
            <w:tcW w:w="1667" w:type="pct"/>
            <w:vAlign w:val="center"/>
          </w:tcPr>
          <w:p w:rsidR="003E5715" w:rsidRPr="008969F2" w:rsidRDefault="003E5715" w:rsidP="001C12CF">
            <w:pPr>
              <w:pStyle w:val="Legenda"/>
              <w:jc w:val="both"/>
              <w:rPr>
                <w:rFonts w:cs="Arial"/>
                <w:color w:val="000000" w:themeColor="text1"/>
                <w:szCs w:val="24"/>
              </w:rPr>
            </w:pPr>
          </w:p>
        </w:tc>
        <w:tc>
          <w:tcPr>
            <w:tcW w:w="1568" w:type="pct"/>
            <w:vAlign w:val="center"/>
          </w:tcPr>
          <w:p w:rsidR="003E5715" w:rsidRPr="008969F2" w:rsidRDefault="003E5715" w:rsidP="003E5715">
            <w:pPr>
              <w:pStyle w:val="Legenda"/>
              <w:jc w:val="both"/>
              <w:rPr>
                <w:rFonts w:cs="Arial"/>
                <w:szCs w:val="24"/>
              </w:rPr>
            </w:pPr>
            <w:r w:rsidRPr="008969F2">
              <w:rPr>
                <w:rFonts w:cs="Arial"/>
                <w:szCs w:val="24"/>
              </w:rPr>
              <w:t xml:space="preserve">Em 17 de julho de 2017 entrou em vigor no Brasil o Decreto 9094 que dispõe sobre a simplificação do atendimento prestado aos usuários dos serviços públicos, Por força do artigo 2º do mencionado Decreto "os órgãos do Poder Executivo federal </w:t>
            </w:r>
            <w:r w:rsidR="00A85EA2" w:rsidRPr="008969F2">
              <w:rPr>
                <w:rFonts w:cs="Arial"/>
                <w:szCs w:val="24"/>
              </w:rPr>
              <w:t xml:space="preserve">[neste caso a própria ANP] </w:t>
            </w:r>
            <w:r w:rsidRPr="008969F2">
              <w:rPr>
                <w:rFonts w:cs="Arial"/>
                <w:szCs w:val="24"/>
              </w:rPr>
              <w:t>que necessitarem de documentos comprobatórios da regularidade da situação de usuários dos serviços públicos, de atestados, de certidões ou e outros documentos comprobatórios que constem em base de dados oficial da administração pública federal deverão obtê-los diretamente do órgão ou da entidade responsável pela base de dados, nos termos do Decreto n° 8.789/2016".</w:t>
            </w:r>
          </w:p>
        </w:tc>
      </w:tr>
      <w:tr w:rsidR="001C12CF" w:rsidRPr="008969F2" w:rsidTr="00335228">
        <w:trPr>
          <w:trHeight w:val="2268"/>
        </w:trPr>
        <w:tc>
          <w:tcPr>
            <w:tcW w:w="542" w:type="pct"/>
            <w:vAlign w:val="center"/>
          </w:tcPr>
          <w:p w:rsidR="001C12CF" w:rsidRPr="008969F2" w:rsidRDefault="001C12CF" w:rsidP="000E7BC7">
            <w:pPr>
              <w:pStyle w:val="Legenda"/>
              <w:jc w:val="center"/>
              <w:rPr>
                <w:rFonts w:cs="Arial"/>
                <w:color w:val="000000" w:themeColor="text1"/>
                <w:szCs w:val="24"/>
              </w:rPr>
            </w:pPr>
            <w:r w:rsidRPr="008969F2">
              <w:rPr>
                <w:rFonts w:cs="Arial"/>
                <w:color w:val="000000" w:themeColor="text1"/>
                <w:szCs w:val="24"/>
              </w:rPr>
              <w:lastRenderedPageBreak/>
              <w:t>Pré-edital</w:t>
            </w:r>
            <w:r w:rsidR="00FB0E61" w:rsidRPr="008969F2">
              <w:rPr>
                <w:rFonts w:cs="Arial"/>
                <w:color w:val="000000" w:themeColor="text1"/>
                <w:szCs w:val="24"/>
              </w:rPr>
              <w:t xml:space="preserve"> </w:t>
            </w:r>
          </w:p>
        </w:tc>
        <w:tc>
          <w:tcPr>
            <w:tcW w:w="528" w:type="pct"/>
            <w:vAlign w:val="center"/>
          </w:tcPr>
          <w:p w:rsidR="001C12CF" w:rsidRPr="008969F2" w:rsidRDefault="001C12CF" w:rsidP="001C12CF">
            <w:pPr>
              <w:pStyle w:val="Legenda"/>
              <w:jc w:val="center"/>
              <w:rPr>
                <w:rFonts w:cs="Arial"/>
                <w:color w:val="000000" w:themeColor="text1"/>
                <w:szCs w:val="24"/>
              </w:rPr>
            </w:pPr>
            <w:r w:rsidRPr="008969F2">
              <w:rPr>
                <w:rFonts w:cs="Arial"/>
                <w:color w:val="000000" w:themeColor="text1"/>
                <w:szCs w:val="24"/>
              </w:rPr>
              <w:t>Exclusão</w:t>
            </w:r>
          </w:p>
        </w:tc>
        <w:tc>
          <w:tcPr>
            <w:tcW w:w="695" w:type="pct"/>
            <w:vAlign w:val="center"/>
          </w:tcPr>
          <w:p w:rsidR="001C12CF" w:rsidRPr="008969F2" w:rsidRDefault="001C12CF" w:rsidP="00FB0E61">
            <w:pPr>
              <w:rPr>
                <w:rFonts w:ascii="Arial" w:hAnsi="Arial" w:cs="Arial"/>
                <w:color w:val="000000" w:themeColor="text1"/>
                <w:sz w:val="24"/>
                <w:szCs w:val="24"/>
              </w:rPr>
            </w:pPr>
            <w:r w:rsidRPr="008969F2">
              <w:rPr>
                <w:rFonts w:ascii="Arial" w:hAnsi="Arial" w:cs="Arial"/>
                <w:color w:val="000000" w:themeColor="text1"/>
                <w:sz w:val="24"/>
                <w:szCs w:val="24"/>
              </w:rPr>
              <w:t>Tabela 16 A</w:t>
            </w:r>
            <w:r w:rsidR="00FB0E61" w:rsidRPr="008969F2">
              <w:rPr>
                <w:rFonts w:ascii="Arial" w:hAnsi="Arial" w:cs="Arial"/>
                <w:color w:val="000000" w:themeColor="text1"/>
                <w:sz w:val="24"/>
                <w:szCs w:val="24"/>
              </w:rPr>
              <w:t>;</w:t>
            </w:r>
            <w:r w:rsidRPr="008969F2">
              <w:rPr>
                <w:rFonts w:ascii="Arial" w:hAnsi="Arial" w:cs="Arial"/>
                <w:color w:val="000000" w:themeColor="text1"/>
                <w:sz w:val="24"/>
                <w:szCs w:val="24"/>
              </w:rPr>
              <w:t xml:space="preserve"> Nota:</w:t>
            </w:r>
            <w:r w:rsidR="00FB0E61" w:rsidRPr="008969F2">
              <w:rPr>
                <w:rFonts w:ascii="Arial" w:hAnsi="Arial" w:cs="Arial"/>
                <w:color w:val="000000" w:themeColor="text1"/>
                <w:sz w:val="24"/>
                <w:szCs w:val="24"/>
              </w:rPr>
              <w:t xml:space="preserve"> 2</w:t>
            </w:r>
          </w:p>
        </w:tc>
        <w:tc>
          <w:tcPr>
            <w:tcW w:w="1667" w:type="pct"/>
            <w:vAlign w:val="center"/>
          </w:tcPr>
          <w:p w:rsidR="001C12CF" w:rsidRPr="008969F2" w:rsidRDefault="001C12CF" w:rsidP="001C12CF">
            <w:pPr>
              <w:pStyle w:val="Legenda"/>
              <w:jc w:val="both"/>
              <w:rPr>
                <w:rFonts w:cs="Arial"/>
                <w:color w:val="000000" w:themeColor="text1"/>
                <w:szCs w:val="24"/>
              </w:rPr>
            </w:pPr>
          </w:p>
        </w:tc>
        <w:tc>
          <w:tcPr>
            <w:tcW w:w="1568" w:type="pct"/>
            <w:vAlign w:val="center"/>
          </w:tcPr>
          <w:p w:rsidR="001C12CF" w:rsidRPr="008969F2" w:rsidRDefault="001C12CF" w:rsidP="001C12CF">
            <w:pPr>
              <w:pStyle w:val="Legenda"/>
              <w:jc w:val="both"/>
              <w:rPr>
                <w:rFonts w:cs="Arial"/>
                <w:szCs w:val="24"/>
              </w:rPr>
            </w:pPr>
            <w:r w:rsidRPr="008969F2">
              <w:rPr>
                <w:rFonts w:cs="Arial"/>
                <w:szCs w:val="24"/>
              </w:rPr>
              <w:t xml:space="preserve">Em 17 de julho de 2017 entrou em vigor no Brasil o Decreto 9094 que dispõe sobre a simplificação do atendimento prestado aos usuários dos serviços públicos, o qual ratifica a dispensa do reconhecimento de firma e da autenticação em documentos produzidos no País, razão pela qual sugerimos a exclusão da Nota 2 da Tabela 16 A do pré-edital. O artigo 9º do Decreto 9094/2017 é claro ao indicar que fica dispensado o reconhecimento de firma e a autenticação de cópia dos documentos expedidos no País e destinados a fazer prova junto a órgãos e entidades do Poder Executivo federal, exceto se existir dúvida fundada quanto à autenticidade ou previsão legal. No mesmo sentido é a Lei 13.460/2017, que dispõe sobre a participação, proteção e defesa dos direitos do usuário dos serviços públicos da administração pública. Em seu artigo 5º, IX a Lei 13.460/2017 também indica que a autenticação de documentos deverá ser feita pelo próprio agente público, à vista dos originais apresentados pelo usuário, sendo vedada a exigência de reconhecimento de firma, salvo em caso de dúvida de </w:t>
            </w:r>
            <w:r w:rsidRPr="008969F2">
              <w:rPr>
                <w:rFonts w:cs="Arial"/>
                <w:szCs w:val="24"/>
              </w:rPr>
              <w:lastRenderedPageBreak/>
              <w:t>autenticidade. Vale registrar que a previsão legal para exigência de reconhecimento de firma em procuração, constante do artigo 158 da Lei 6.015/1973, é aplicável tão somente à hipótese de registro do documento em junto ao Registro de Título e Documentos (RTD), não sendo este o caso.</w:t>
            </w:r>
          </w:p>
        </w:tc>
      </w:tr>
      <w:tr w:rsidR="001C12CF" w:rsidRPr="008969F2" w:rsidTr="00335228">
        <w:trPr>
          <w:trHeight w:val="2268"/>
        </w:trPr>
        <w:tc>
          <w:tcPr>
            <w:tcW w:w="542" w:type="pct"/>
            <w:vAlign w:val="center"/>
          </w:tcPr>
          <w:p w:rsidR="001C12CF" w:rsidRPr="008969F2" w:rsidRDefault="001C12CF" w:rsidP="000E7BC7">
            <w:pPr>
              <w:pStyle w:val="Legenda"/>
              <w:jc w:val="center"/>
              <w:rPr>
                <w:rFonts w:cs="Arial"/>
                <w:color w:val="000000" w:themeColor="text1"/>
                <w:szCs w:val="24"/>
              </w:rPr>
            </w:pPr>
            <w:r w:rsidRPr="008969F2">
              <w:rPr>
                <w:rFonts w:cs="Arial"/>
                <w:color w:val="000000" w:themeColor="text1"/>
                <w:szCs w:val="24"/>
              </w:rPr>
              <w:lastRenderedPageBreak/>
              <w:t>Pré-edital</w:t>
            </w:r>
            <w:r w:rsidR="00FB0E61" w:rsidRPr="008969F2">
              <w:rPr>
                <w:rFonts w:cs="Arial"/>
                <w:color w:val="000000" w:themeColor="text1"/>
                <w:szCs w:val="24"/>
              </w:rPr>
              <w:t xml:space="preserve"> </w:t>
            </w:r>
          </w:p>
        </w:tc>
        <w:tc>
          <w:tcPr>
            <w:tcW w:w="528" w:type="pct"/>
            <w:vAlign w:val="center"/>
          </w:tcPr>
          <w:p w:rsidR="001C12CF" w:rsidRPr="008969F2" w:rsidRDefault="001C12CF" w:rsidP="001C12CF">
            <w:pPr>
              <w:pStyle w:val="Legenda"/>
              <w:jc w:val="center"/>
              <w:rPr>
                <w:rFonts w:cs="Arial"/>
                <w:color w:val="000000" w:themeColor="text1"/>
                <w:szCs w:val="24"/>
              </w:rPr>
            </w:pPr>
            <w:r w:rsidRPr="008969F2">
              <w:rPr>
                <w:rFonts w:cs="Arial"/>
                <w:color w:val="000000" w:themeColor="text1"/>
                <w:szCs w:val="24"/>
              </w:rPr>
              <w:t>Exclusão</w:t>
            </w:r>
          </w:p>
        </w:tc>
        <w:tc>
          <w:tcPr>
            <w:tcW w:w="695" w:type="pct"/>
            <w:vAlign w:val="center"/>
          </w:tcPr>
          <w:p w:rsidR="001C12CF" w:rsidRPr="008969F2" w:rsidRDefault="00FB0E61" w:rsidP="00FB0E61">
            <w:pPr>
              <w:rPr>
                <w:rFonts w:ascii="Arial" w:hAnsi="Arial" w:cs="Arial"/>
                <w:color w:val="000000" w:themeColor="text1"/>
                <w:sz w:val="24"/>
                <w:szCs w:val="24"/>
              </w:rPr>
            </w:pPr>
            <w:r w:rsidRPr="008969F2">
              <w:rPr>
                <w:rFonts w:ascii="Arial" w:hAnsi="Arial" w:cs="Arial"/>
                <w:color w:val="000000" w:themeColor="text1"/>
                <w:sz w:val="24"/>
                <w:szCs w:val="24"/>
              </w:rPr>
              <w:t>Tabela 16 B;</w:t>
            </w:r>
            <w:r w:rsidR="001C12CF" w:rsidRPr="008969F2">
              <w:rPr>
                <w:rFonts w:ascii="Arial" w:hAnsi="Arial" w:cs="Arial"/>
                <w:color w:val="000000" w:themeColor="text1"/>
                <w:sz w:val="24"/>
                <w:szCs w:val="24"/>
              </w:rPr>
              <w:t xml:space="preserve"> </w:t>
            </w:r>
            <w:r w:rsidRPr="008969F2">
              <w:rPr>
                <w:rFonts w:ascii="Arial" w:hAnsi="Arial" w:cs="Arial"/>
                <w:color w:val="000000" w:themeColor="text1"/>
                <w:sz w:val="24"/>
                <w:szCs w:val="24"/>
              </w:rPr>
              <w:t>Nota: 2.</w:t>
            </w:r>
          </w:p>
        </w:tc>
        <w:tc>
          <w:tcPr>
            <w:tcW w:w="1667" w:type="pct"/>
            <w:vAlign w:val="center"/>
          </w:tcPr>
          <w:p w:rsidR="001C12CF" w:rsidRPr="008969F2" w:rsidRDefault="001C12CF" w:rsidP="001C12CF">
            <w:pPr>
              <w:pStyle w:val="Legenda"/>
              <w:jc w:val="both"/>
              <w:rPr>
                <w:rFonts w:cs="Arial"/>
                <w:color w:val="000000" w:themeColor="text1"/>
                <w:szCs w:val="24"/>
              </w:rPr>
            </w:pPr>
          </w:p>
        </w:tc>
        <w:tc>
          <w:tcPr>
            <w:tcW w:w="1568" w:type="pct"/>
            <w:vAlign w:val="center"/>
          </w:tcPr>
          <w:p w:rsidR="001C12CF" w:rsidRPr="008969F2" w:rsidRDefault="001C12CF" w:rsidP="001C12CF">
            <w:pPr>
              <w:pStyle w:val="Legenda"/>
              <w:jc w:val="both"/>
              <w:rPr>
                <w:rFonts w:cs="Arial"/>
                <w:szCs w:val="24"/>
              </w:rPr>
            </w:pPr>
            <w:r w:rsidRPr="008969F2">
              <w:rPr>
                <w:rFonts w:cs="Arial"/>
                <w:szCs w:val="24"/>
              </w:rPr>
              <w:t xml:space="preserve">Em 17 de julho de 2017 entrou em vigor no Brasil o Decreto 9094 que dispõe sobre a simplificação do atendimento prestado aos usuários dos serviços públicos, o qual ratifica a dispensa do reconhecimento de firma e da autenticação em documentos produzidos no País, razão pela qual sugerimos a exclusão da Nota 2 da Tabela 16 B do pré-edital. O artigo 9º do Decreto 9094/2017 é claro ao indicar que fica dispensado o reconhecimento de firma e a autenticação de cópia dos documentos expedidos no País e destinados a fazer prova junto a órgãos e entidades do Poder Executivo federal, exceto se existir dúvida fundada quanto à autenticidade ou previsão legal. No mesmo sentido é a Lei 13.460/2017, que dispõe sobre a participação, proteção e defesa dos direitos do </w:t>
            </w:r>
            <w:r w:rsidRPr="008969F2">
              <w:rPr>
                <w:rFonts w:cs="Arial"/>
                <w:szCs w:val="24"/>
              </w:rPr>
              <w:lastRenderedPageBreak/>
              <w:t>usuário dos serviços públicos da administração pública. Em seu artigo 5º, IX a Lei 13.460/2017 também indica que a autenticação de documentos deverá ser feita pelo próprio agente público, à vista dos originais apresentados pelo usuário, sendo vedada a exigência de reconhecimento de firma, salvo em caso de dúvida de autenticidade. Vale registrar que a previsão legal para exigência de reconhecimento de firma em procuração, constante do artigo 158 da Lei 6.015/1973, é aplicável tão somente à hipótese de registro do documento em junto ao Registro de Título e Documentos (RTD), não sendo este o caso.</w:t>
            </w:r>
          </w:p>
        </w:tc>
      </w:tr>
      <w:tr w:rsidR="001C12CF" w:rsidRPr="008969F2" w:rsidTr="00335228">
        <w:trPr>
          <w:trHeight w:val="2268"/>
        </w:trPr>
        <w:tc>
          <w:tcPr>
            <w:tcW w:w="542" w:type="pct"/>
            <w:vAlign w:val="center"/>
          </w:tcPr>
          <w:p w:rsidR="001C12CF" w:rsidRPr="008969F2" w:rsidRDefault="001C12CF" w:rsidP="000E7BC7">
            <w:pPr>
              <w:pStyle w:val="Legenda"/>
              <w:jc w:val="center"/>
              <w:rPr>
                <w:rFonts w:cs="Arial"/>
                <w:color w:val="000000" w:themeColor="text1"/>
                <w:szCs w:val="24"/>
              </w:rPr>
            </w:pPr>
            <w:r w:rsidRPr="008969F2">
              <w:rPr>
                <w:rFonts w:cs="Arial"/>
                <w:color w:val="000000" w:themeColor="text1"/>
                <w:szCs w:val="24"/>
              </w:rPr>
              <w:lastRenderedPageBreak/>
              <w:t>Pré-edital</w:t>
            </w:r>
          </w:p>
        </w:tc>
        <w:tc>
          <w:tcPr>
            <w:tcW w:w="528" w:type="pct"/>
            <w:vAlign w:val="center"/>
          </w:tcPr>
          <w:p w:rsidR="001C12CF" w:rsidRPr="008969F2" w:rsidRDefault="001C12CF" w:rsidP="001C12CF">
            <w:pPr>
              <w:pStyle w:val="Legenda"/>
              <w:jc w:val="center"/>
              <w:rPr>
                <w:rFonts w:cs="Arial"/>
                <w:color w:val="000000" w:themeColor="text1"/>
                <w:szCs w:val="24"/>
              </w:rPr>
            </w:pPr>
            <w:r w:rsidRPr="008969F2">
              <w:rPr>
                <w:rFonts w:cs="Arial"/>
                <w:color w:val="000000" w:themeColor="text1"/>
                <w:szCs w:val="24"/>
              </w:rPr>
              <w:t>Exclusão</w:t>
            </w:r>
          </w:p>
        </w:tc>
        <w:tc>
          <w:tcPr>
            <w:tcW w:w="695" w:type="pct"/>
            <w:vAlign w:val="center"/>
          </w:tcPr>
          <w:p w:rsidR="001C12CF" w:rsidRPr="008969F2" w:rsidRDefault="00FB0E61" w:rsidP="00FB0E61">
            <w:pPr>
              <w:rPr>
                <w:rFonts w:ascii="Arial" w:hAnsi="Arial" w:cs="Arial"/>
                <w:color w:val="000000" w:themeColor="text1"/>
                <w:sz w:val="24"/>
                <w:szCs w:val="24"/>
              </w:rPr>
            </w:pPr>
            <w:r w:rsidRPr="008969F2">
              <w:rPr>
                <w:rFonts w:ascii="Arial" w:hAnsi="Arial" w:cs="Arial"/>
                <w:color w:val="000000" w:themeColor="text1"/>
                <w:sz w:val="24"/>
                <w:szCs w:val="24"/>
              </w:rPr>
              <w:t>Tabela 17;</w:t>
            </w:r>
            <w:r w:rsidR="001C12CF" w:rsidRPr="008969F2">
              <w:rPr>
                <w:rFonts w:ascii="Arial" w:hAnsi="Arial" w:cs="Arial"/>
                <w:color w:val="000000" w:themeColor="text1"/>
                <w:sz w:val="24"/>
                <w:szCs w:val="24"/>
              </w:rPr>
              <w:t xml:space="preserve"> Nota: 2.</w:t>
            </w:r>
            <w:r w:rsidRPr="008969F2">
              <w:rPr>
                <w:rFonts w:ascii="Arial" w:hAnsi="Arial" w:cs="Arial"/>
                <w:color w:val="000000" w:themeColor="text1"/>
                <w:sz w:val="24"/>
                <w:szCs w:val="24"/>
              </w:rPr>
              <w:t xml:space="preserve"> </w:t>
            </w:r>
          </w:p>
        </w:tc>
        <w:tc>
          <w:tcPr>
            <w:tcW w:w="1667" w:type="pct"/>
            <w:vAlign w:val="center"/>
          </w:tcPr>
          <w:p w:rsidR="001C12CF" w:rsidRPr="008969F2" w:rsidRDefault="001C12CF" w:rsidP="001C12CF">
            <w:pPr>
              <w:pStyle w:val="Legenda"/>
              <w:jc w:val="both"/>
              <w:rPr>
                <w:rFonts w:cs="Arial"/>
                <w:color w:val="000000" w:themeColor="text1"/>
                <w:szCs w:val="24"/>
              </w:rPr>
            </w:pPr>
          </w:p>
        </w:tc>
        <w:tc>
          <w:tcPr>
            <w:tcW w:w="1568" w:type="pct"/>
            <w:vAlign w:val="center"/>
          </w:tcPr>
          <w:p w:rsidR="001C12CF" w:rsidRPr="008969F2" w:rsidRDefault="001C12CF" w:rsidP="001C12CF">
            <w:pPr>
              <w:pStyle w:val="Legenda"/>
              <w:jc w:val="both"/>
              <w:rPr>
                <w:rFonts w:cs="Arial"/>
                <w:szCs w:val="24"/>
              </w:rPr>
            </w:pPr>
            <w:r w:rsidRPr="008969F2">
              <w:rPr>
                <w:rFonts w:cs="Arial"/>
                <w:szCs w:val="24"/>
              </w:rPr>
              <w:t xml:space="preserve">Em 17 de julho de 2017 entrou em vigor no Brasil o Decreto 9094 que dispõe sobre a simplificação do atendimento prestado aos usuários dos serviços públicos, o qual ratifica a dispensa do reconhecimento de firma e da autenticação em documentos produzidos no País, razão pela qual sugerimos a exclusão da Nota 2 da Tabela 17 do pré-edital. O artigo 9º do Decreto 9094/2017 é claro ao indicar que fica dispensado o reconhecimento de firma e a autenticação de cópia dos </w:t>
            </w:r>
            <w:r w:rsidRPr="008969F2">
              <w:rPr>
                <w:rFonts w:cs="Arial"/>
                <w:szCs w:val="24"/>
              </w:rPr>
              <w:lastRenderedPageBreak/>
              <w:t>documentos expedidos no País e destinados a fazer prova junto a órgãos e entidades do Poder Executivo federal, exceto se existir dúvida fundada quanto à autenticidade ou previsão legal. No mesmo sentido é a Lei 13.460/2017, que dispõe sobre a participação, proteção e defesa dos direitos do usuário dos serviços públicos da administração pública. Em seu artigo 5º, IX a Lei 13.460/2017 também indica que a autenticação de documentos deverá ser feita pelo próprio agente público, à vista dos originais apresentados pelo usuário, sendo vedada a exigência de reconhecimento de firma, salvo em caso de dúvida de autenticidade. Vale registrar que a previsão legal para exigência de reconhecimento de firma em procuração, constante do artigo 158 da Lei 6.015/1973, é aplicável tão somente à hipótese de registro do documento em junto ao Registro de Título e Documentos (RTD), não sendo este o caso.</w:t>
            </w:r>
          </w:p>
        </w:tc>
      </w:tr>
      <w:tr w:rsidR="00D23A62" w:rsidRPr="008969F2" w:rsidTr="00335228">
        <w:trPr>
          <w:trHeight w:val="2268"/>
        </w:trPr>
        <w:tc>
          <w:tcPr>
            <w:tcW w:w="542" w:type="pct"/>
            <w:vAlign w:val="center"/>
          </w:tcPr>
          <w:p w:rsidR="00D23A62" w:rsidRPr="008969F2" w:rsidRDefault="00D23A62" w:rsidP="00025ACA">
            <w:pPr>
              <w:pStyle w:val="Legenda"/>
              <w:jc w:val="center"/>
              <w:rPr>
                <w:rFonts w:cs="Arial"/>
                <w:color w:val="000000" w:themeColor="text1"/>
                <w:szCs w:val="24"/>
              </w:rPr>
            </w:pPr>
            <w:r w:rsidRPr="008969F2">
              <w:rPr>
                <w:rFonts w:cs="Arial"/>
                <w:color w:val="000000" w:themeColor="text1"/>
                <w:szCs w:val="24"/>
              </w:rPr>
              <w:lastRenderedPageBreak/>
              <w:t>Pré-edital</w:t>
            </w:r>
          </w:p>
        </w:tc>
        <w:tc>
          <w:tcPr>
            <w:tcW w:w="528" w:type="pct"/>
            <w:vAlign w:val="center"/>
          </w:tcPr>
          <w:p w:rsidR="00D23A62" w:rsidRPr="008969F2" w:rsidRDefault="006D46B6" w:rsidP="00871058">
            <w:pPr>
              <w:pStyle w:val="Legenda"/>
              <w:jc w:val="center"/>
              <w:rPr>
                <w:rFonts w:cs="Arial"/>
                <w:color w:val="000000" w:themeColor="text1"/>
                <w:szCs w:val="24"/>
              </w:rPr>
            </w:pPr>
            <w:r w:rsidRPr="008969F2">
              <w:rPr>
                <w:rFonts w:cs="Arial"/>
                <w:color w:val="000000" w:themeColor="text1"/>
                <w:szCs w:val="24"/>
              </w:rPr>
              <w:t>A</w:t>
            </w:r>
            <w:r w:rsidR="00DE6718" w:rsidRPr="008969F2">
              <w:rPr>
                <w:rFonts w:cs="Arial"/>
                <w:color w:val="000000" w:themeColor="text1"/>
                <w:szCs w:val="24"/>
              </w:rPr>
              <w:t>l</w:t>
            </w:r>
            <w:r w:rsidR="00D23A62" w:rsidRPr="008969F2">
              <w:rPr>
                <w:rFonts w:cs="Arial"/>
                <w:color w:val="000000" w:themeColor="text1"/>
                <w:szCs w:val="24"/>
              </w:rPr>
              <w:t>teração</w:t>
            </w:r>
          </w:p>
        </w:tc>
        <w:tc>
          <w:tcPr>
            <w:tcW w:w="695" w:type="pct"/>
            <w:vAlign w:val="center"/>
          </w:tcPr>
          <w:p w:rsidR="00D23A62" w:rsidRPr="008969F2" w:rsidRDefault="00D23A62" w:rsidP="00D23A62">
            <w:pPr>
              <w:rPr>
                <w:rFonts w:ascii="Arial" w:hAnsi="Arial" w:cs="Arial"/>
                <w:color w:val="000000" w:themeColor="text1"/>
                <w:sz w:val="24"/>
                <w:szCs w:val="24"/>
              </w:rPr>
            </w:pPr>
            <w:r w:rsidRPr="008969F2">
              <w:rPr>
                <w:rFonts w:ascii="Arial" w:hAnsi="Arial" w:cs="Arial"/>
                <w:color w:val="000000" w:themeColor="text1"/>
                <w:sz w:val="24"/>
                <w:szCs w:val="24"/>
              </w:rPr>
              <w:t xml:space="preserve">Anexo V, Instruções de Preenchimento, item d). </w:t>
            </w:r>
          </w:p>
        </w:tc>
        <w:tc>
          <w:tcPr>
            <w:tcW w:w="1667" w:type="pct"/>
            <w:vAlign w:val="center"/>
          </w:tcPr>
          <w:p w:rsidR="00D23A62" w:rsidRPr="008969F2" w:rsidRDefault="00D23A62" w:rsidP="00FB0E61">
            <w:pPr>
              <w:pStyle w:val="Legenda"/>
              <w:jc w:val="both"/>
              <w:rPr>
                <w:rFonts w:cs="Arial"/>
                <w:color w:val="000000" w:themeColor="text1"/>
                <w:szCs w:val="24"/>
              </w:rPr>
            </w:pPr>
            <w:r w:rsidRPr="008969F2">
              <w:rPr>
                <w:rFonts w:cs="Arial"/>
                <w:szCs w:val="24"/>
              </w:rPr>
              <w:t>Preencher, ao final, os campos relativos a local, data e nome dos representantes credenciados</w:t>
            </w:r>
            <w:r w:rsidR="00FB0E61" w:rsidRPr="008969F2">
              <w:rPr>
                <w:rFonts w:cs="Arial"/>
                <w:szCs w:val="24"/>
              </w:rPr>
              <w:t xml:space="preserve"> e</w:t>
            </w:r>
            <w:r w:rsidRPr="008969F2">
              <w:rPr>
                <w:rFonts w:cs="Arial"/>
                <w:szCs w:val="24"/>
              </w:rPr>
              <w:t xml:space="preserve"> assinar esta declaração.</w:t>
            </w:r>
          </w:p>
        </w:tc>
        <w:tc>
          <w:tcPr>
            <w:tcW w:w="1568" w:type="pct"/>
            <w:vAlign w:val="center"/>
          </w:tcPr>
          <w:p w:rsidR="00D23A62" w:rsidRPr="008969F2" w:rsidRDefault="00D23A62" w:rsidP="00D23A62">
            <w:pPr>
              <w:pStyle w:val="Legenda"/>
              <w:jc w:val="both"/>
              <w:rPr>
                <w:rFonts w:cs="Arial"/>
                <w:szCs w:val="24"/>
              </w:rPr>
            </w:pPr>
            <w:r w:rsidRPr="008969F2">
              <w:rPr>
                <w:rFonts w:cs="Arial"/>
                <w:szCs w:val="24"/>
              </w:rPr>
              <w:t xml:space="preserve">Em 17 de julho de 2017 entrou em vigor no Brasil o Decreto 9094 que dispõe sobre a simplificação do atendimento prestado aos usuários dos serviços públicos, o qual ratifica a dispensa do reconhecimento de firma e da autenticação em documentos produzidos no País, de modo que sugerimos a exclusão do trecho "e notarizar" ao final do item ora comentado. O artigo 9º do Decreto 9094/2017 é claro ao indicar que fica dispensado o reconhecimento de firma e a autenticação de cópia dos documentos expedidos no País e destinados a fazer prova junto a órgãos e entidades do Poder Executivo federal, exceto se existir dúvida fundada quanto à autenticidade ou previsão legal. No mesmo sentido é a Lei 13.460/2017, que dispõe sobre a participação, proteção e defesa dos direitos do usuário dos serviços públicos da administração pública. Em seu artigo 5º, IX a Lei 13.460/2017 também indica que a autenticação de documentos deverá ser feita pelo próprio agente público, à vista dos originais apresentados pelo usuário, sendo vedada a exigência de reconhecimento de firma, salvo em </w:t>
            </w:r>
            <w:r w:rsidRPr="008969F2">
              <w:rPr>
                <w:rFonts w:cs="Arial"/>
                <w:szCs w:val="24"/>
              </w:rPr>
              <w:lastRenderedPageBreak/>
              <w:t>caso de dúvida de autenticidade. Vale registrar que a previsão legal para exigência de reconhecimento de firma em procuração, constante do artigo 158 da Lei 6.015/1973, é aplicável tão somente à hipótese de registro do documento em junto ao Registro de Título e Documentos (RTD), não sendo este o caso.</w:t>
            </w:r>
          </w:p>
        </w:tc>
      </w:tr>
      <w:tr w:rsidR="006E6EB3" w:rsidRPr="008969F2" w:rsidTr="00335228">
        <w:trPr>
          <w:trHeight w:val="2268"/>
        </w:trPr>
        <w:tc>
          <w:tcPr>
            <w:tcW w:w="542" w:type="pct"/>
            <w:vAlign w:val="center"/>
          </w:tcPr>
          <w:p w:rsidR="006E6EB3" w:rsidRPr="008969F2" w:rsidRDefault="006E6EB3" w:rsidP="00937DBC">
            <w:pPr>
              <w:pStyle w:val="Legenda"/>
              <w:jc w:val="center"/>
              <w:rPr>
                <w:rFonts w:cs="Arial"/>
                <w:color w:val="000000" w:themeColor="text1"/>
                <w:szCs w:val="24"/>
              </w:rPr>
            </w:pPr>
            <w:r w:rsidRPr="008969F2">
              <w:rPr>
                <w:rFonts w:cs="Arial"/>
                <w:color w:val="000000" w:themeColor="text1"/>
                <w:szCs w:val="24"/>
              </w:rPr>
              <w:lastRenderedPageBreak/>
              <w:t>Pré-edital</w:t>
            </w:r>
          </w:p>
        </w:tc>
        <w:tc>
          <w:tcPr>
            <w:tcW w:w="528" w:type="pct"/>
            <w:vAlign w:val="center"/>
          </w:tcPr>
          <w:p w:rsidR="006E6EB3" w:rsidRPr="008969F2" w:rsidRDefault="006E6EB3" w:rsidP="00937DBC">
            <w:pPr>
              <w:pStyle w:val="Legenda"/>
              <w:jc w:val="both"/>
              <w:rPr>
                <w:rFonts w:cs="Arial"/>
                <w:szCs w:val="24"/>
              </w:rPr>
            </w:pPr>
            <w:r w:rsidRPr="008969F2">
              <w:rPr>
                <w:rFonts w:cs="Arial"/>
                <w:szCs w:val="24"/>
              </w:rPr>
              <w:t>Alteração</w:t>
            </w:r>
          </w:p>
        </w:tc>
        <w:tc>
          <w:tcPr>
            <w:tcW w:w="695" w:type="pct"/>
            <w:vAlign w:val="center"/>
          </w:tcPr>
          <w:p w:rsidR="006E6EB3" w:rsidRPr="008969F2" w:rsidRDefault="006E6EB3" w:rsidP="006E6EB3">
            <w:pPr>
              <w:pStyle w:val="Legenda"/>
              <w:jc w:val="both"/>
              <w:rPr>
                <w:rFonts w:cs="Arial"/>
                <w:szCs w:val="24"/>
              </w:rPr>
            </w:pPr>
            <w:r w:rsidRPr="008969F2">
              <w:rPr>
                <w:rFonts w:cs="Arial"/>
                <w:szCs w:val="24"/>
              </w:rPr>
              <w:t>7.4 b)</w:t>
            </w:r>
          </w:p>
        </w:tc>
        <w:tc>
          <w:tcPr>
            <w:tcW w:w="1667" w:type="pct"/>
            <w:vAlign w:val="center"/>
          </w:tcPr>
          <w:p w:rsidR="006E6EB3" w:rsidRPr="008969F2" w:rsidRDefault="006E6EB3" w:rsidP="006E6EB3">
            <w:pPr>
              <w:pStyle w:val="Legenda"/>
              <w:jc w:val="both"/>
              <w:rPr>
                <w:rFonts w:cs="Arial"/>
                <w:szCs w:val="24"/>
              </w:rPr>
            </w:pPr>
          </w:p>
          <w:p w:rsidR="006E6EB3" w:rsidRPr="008969F2" w:rsidRDefault="006E6EB3" w:rsidP="006E6EB3">
            <w:pPr>
              <w:pStyle w:val="Legenda"/>
              <w:jc w:val="both"/>
              <w:rPr>
                <w:rFonts w:cs="Arial"/>
                <w:szCs w:val="24"/>
              </w:rPr>
            </w:pPr>
            <w:r w:rsidRPr="008969F2">
              <w:rPr>
                <w:rFonts w:cs="Arial"/>
                <w:szCs w:val="24"/>
              </w:rPr>
              <w:t xml:space="preserve">b) Parecer de auditor independente, se aplicável; </w:t>
            </w:r>
          </w:p>
          <w:p w:rsidR="006E6EB3" w:rsidRPr="008969F2" w:rsidRDefault="006E6EB3" w:rsidP="006E6EB3">
            <w:pPr>
              <w:pStyle w:val="Legenda"/>
              <w:jc w:val="both"/>
              <w:rPr>
                <w:rFonts w:cs="Arial"/>
                <w:szCs w:val="24"/>
              </w:rPr>
            </w:pPr>
          </w:p>
        </w:tc>
        <w:tc>
          <w:tcPr>
            <w:tcW w:w="1568" w:type="pct"/>
            <w:vAlign w:val="center"/>
          </w:tcPr>
          <w:p w:rsidR="006E6EB3" w:rsidRPr="008969F2" w:rsidRDefault="000B18A3" w:rsidP="00692DF6">
            <w:pPr>
              <w:pStyle w:val="Legenda"/>
              <w:jc w:val="both"/>
              <w:rPr>
                <w:rFonts w:cs="Arial"/>
                <w:szCs w:val="24"/>
              </w:rPr>
            </w:pPr>
            <w:r w:rsidRPr="008969F2">
              <w:rPr>
                <w:rFonts w:cs="Arial"/>
                <w:szCs w:val="24"/>
              </w:rPr>
              <w:t>Na legislação brasileira a obrigatoriedade do parecer de auditor independente é prevista na Lei nº. 6404/1976 e na Lei nº 11.638/2007 aplicando-se apenas para sociedades anônimas e sociedades limitadas de grande porte. Da mesma forma, a legislação societária aplicável às licitantes estrangeiras pode conter exigências específicas a respeito da auditoria independente. Desta forma, a exigência editalícia só deve ser aplicável quando a legislação societária aplicável à licitante exigir o parecer de auditor independente.</w:t>
            </w:r>
          </w:p>
        </w:tc>
      </w:tr>
      <w:tr w:rsidR="006D46B6" w:rsidRPr="008969F2" w:rsidTr="00335228">
        <w:trPr>
          <w:trHeight w:val="2268"/>
        </w:trPr>
        <w:tc>
          <w:tcPr>
            <w:tcW w:w="542" w:type="pct"/>
            <w:vAlign w:val="center"/>
          </w:tcPr>
          <w:p w:rsidR="006D46B6" w:rsidRPr="008969F2" w:rsidRDefault="006D46B6" w:rsidP="00937DBC">
            <w:pPr>
              <w:pStyle w:val="Legenda"/>
              <w:jc w:val="center"/>
              <w:rPr>
                <w:rFonts w:cs="Arial"/>
                <w:color w:val="000000" w:themeColor="text1"/>
                <w:szCs w:val="24"/>
              </w:rPr>
            </w:pPr>
            <w:r w:rsidRPr="008969F2">
              <w:rPr>
                <w:rFonts w:cs="Arial"/>
                <w:color w:val="000000" w:themeColor="text1"/>
                <w:szCs w:val="24"/>
              </w:rPr>
              <w:lastRenderedPageBreak/>
              <w:t>Pré-edital</w:t>
            </w:r>
          </w:p>
        </w:tc>
        <w:tc>
          <w:tcPr>
            <w:tcW w:w="528" w:type="pct"/>
            <w:vAlign w:val="center"/>
          </w:tcPr>
          <w:p w:rsidR="006D46B6" w:rsidRPr="008969F2" w:rsidRDefault="006D46B6" w:rsidP="00DE6718">
            <w:pPr>
              <w:pStyle w:val="Legenda"/>
              <w:jc w:val="both"/>
              <w:rPr>
                <w:rFonts w:cs="Arial"/>
                <w:szCs w:val="24"/>
              </w:rPr>
            </w:pPr>
            <w:r w:rsidRPr="008969F2">
              <w:rPr>
                <w:rFonts w:cs="Arial"/>
                <w:szCs w:val="24"/>
              </w:rPr>
              <w:t>A</w:t>
            </w:r>
            <w:r w:rsidR="00DE6718" w:rsidRPr="008969F2">
              <w:rPr>
                <w:rFonts w:cs="Arial"/>
                <w:szCs w:val="24"/>
              </w:rPr>
              <w:t>lt</w:t>
            </w:r>
            <w:r w:rsidRPr="008969F2">
              <w:rPr>
                <w:rFonts w:cs="Arial"/>
                <w:szCs w:val="24"/>
              </w:rPr>
              <w:t>eração</w:t>
            </w:r>
          </w:p>
        </w:tc>
        <w:tc>
          <w:tcPr>
            <w:tcW w:w="695" w:type="pct"/>
            <w:vAlign w:val="center"/>
          </w:tcPr>
          <w:p w:rsidR="006D46B6" w:rsidRPr="008969F2" w:rsidRDefault="006D46B6" w:rsidP="00DE6718">
            <w:pPr>
              <w:jc w:val="both"/>
              <w:rPr>
                <w:rFonts w:ascii="Arial" w:hAnsi="Arial" w:cs="Arial"/>
                <w:sz w:val="24"/>
                <w:szCs w:val="24"/>
              </w:rPr>
            </w:pPr>
            <w:r w:rsidRPr="008969F2">
              <w:rPr>
                <w:rFonts w:ascii="Arial" w:hAnsi="Arial" w:cs="Arial"/>
                <w:sz w:val="24"/>
                <w:szCs w:val="24"/>
              </w:rPr>
              <w:t>7.4</w:t>
            </w:r>
          </w:p>
        </w:tc>
        <w:tc>
          <w:tcPr>
            <w:tcW w:w="1667" w:type="pct"/>
            <w:vAlign w:val="center"/>
          </w:tcPr>
          <w:p w:rsidR="006D46B6" w:rsidRPr="008969F2" w:rsidRDefault="006D46B6" w:rsidP="00C50225">
            <w:pPr>
              <w:pStyle w:val="Legenda"/>
              <w:jc w:val="both"/>
              <w:rPr>
                <w:rFonts w:cs="Arial"/>
                <w:szCs w:val="24"/>
              </w:rPr>
            </w:pPr>
            <w:r w:rsidRPr="008969F2">
              <w:rPr>
                <w:rFonts w:cs="Arial"/>
                <w:szCs w:val="24"/>
              </w:rPr>
              <w:t>As Demonstrações Financeiras deverão ser apresentadas na forma da Lei nº 6.404/1976, vedada sua substituição por balancetes provisórios, sem prejuízo da obrigatoriedade de apresentação do parecer de auditor independente</w:t>
            </w:r>
            <w:r w:rsidR="006B04BE">
              <w:rPr>
                <w:rFonts w:cs="Arial"/>
                <w:szCs w:val="24"/>
              </w:rPr>
              <w:t xml:space="preserve">, </w:t>
            </w:r>
            <w:r w:rsidR="00C50225">
              <w:rPr>
                <w:rFonts w:cs="Arial"/>
                <w:szCs w:val="24"/>
              </w:rPr>
              <w:t>quando</w:t>
            </w:r>
            <w:r w:rsidR="006B04BE">
              <w:rPr>
                <w:rFonts w:cs="Arial"/>
                <w:szCs w:val="24"/>
              </w:rPr>
              <w:t xml:space="preserve"> </w:t>
            </w:r>
            <w:r w:rsidR="000A4217">
              <w:rPr>
                <w:rFonts w:cs="Arial"/>
                <w:szCs w:val="24"/>
              </w:rPr>
              <w:t>este for</w:t>
            </w:r>
            <w:r w:rsidR="000A4217" w:rsidRPr="008969F2">
              <w:rPr>
                <w:rFonts w:cs="Arial"/>
                <w:szCs w:val="24"/>
              </w:rPr>
              <w:t xml:space="preserve"> exigido pela legislação aplicável à licitante.</w:t>
            </w:r>
          </w:p>
        </w:tc>
        <w:tc>
          <w:tcPr>
            <w:tcW w:w="1568" w:type="pct"/>
            <w:vAlign w:val="center"/>
          </w:tcPr>
          <w:p w:rsidR="006D46B6" w:rsidRPr="008969F2" w:rsidRDefault="000B18A3" w:rsidP="00DE6718">
            <w:pPr>
              <w:pStyle w:val="Legenda"/>
              <w:jc w:val="both"/>
              <w:rPr>
                <w:rFonts w:cs="Arial"/>
                <w:szCs w:val="24"/>
              </w:rPr>
            </w:pPr>
            <w:r w:rsidRPr="008969F2">
              <w:rPr>
                <w:rFonts w:cs="Arial"/>
                <w:szCs w:val="24"/>
              </w:rPr>
              <w:t>Na legislação brasileira a obrigatoriedade do parecer de auditor independente é prevista na Lei nº. 6404/1976 e na Lei nº 11.638/2007 aplicando-se apenas para sociedades anônimas e sociedades limitadas de grande porte. Da mesma forma, a legislação societária aplicável às licitantes estrangeiras pode conter exigências específicas a respeito da auditoria independente. Desta forma, a exigência editalícia só deve ser aplicável quando a legislação societária aplicável à licitante exigir o parecer de auditor independente.</w:t>
            </w:r>
          </w:p>
        </w:tc>
      </w:tr>
      <w:tr w:rsidR="00303426" w:rsidRPr="008969F2" w:rsidTr="00335228">
        <w:trPr>
          <w:trHeight w:val="2268"/>
        </w:trPr>
        <w:tc>
          <w:tcPr>
            <w:tcW w:w="542" w:type="pct"/>
            <w:vAlign w:val="center"/>
          </w:tcPr>
          <w:p w:rsidR="00303426" w:rsidRPr="008969F2" w:rsidRDefault="00303426" w:rsidP="00937DBC">
            <w:pPr>
              <w:pStyle w:val="Legenda"/>
              <w:jc w:val="center"/>
              <w:rPr>
                <w:rFonts w:cs="Arial"/>
                <w:color w:val="000000" w:themeColor="text1"/>
                <w:szCs w:val="24"/>
              </w:rPr>
            </w:pPr>
            <w:r w:rsidRPr="008969F2">
              <w:rPr>
                <w:rFonts w:cs="Arial"/>
                <w:color w:val="000000" w:themeColor="text1"/>
                <w:szCs w:val="24"/>
              </w:rPr>
              <w:t>Pré-edital</w:t>
            </w:r>
          </w:p>
        </w:tc>
        <w:tc>
          <w:tcPr>
            <w:tcW w:w="528" w:type="pct"/>
            <w:vAlign w:val="center"/>
          </w:tcPr>
          <w:p w:rsidR="00303426" w:rsidRPr="008969F2" w:rsidRDefault="00303426" w:rsidP="00937DBC">
            <w:pPr>
              <w:pStyle w:val="Legenda"/>
              <w:jc w:val="both"/>
              <w:rPr>
                <w:rFonts w:cs="Arial"/>
                <w:szCs w:val="24"/>
              </w:rPr>
            </w:pPr>
            <w:r w:rsidRPr="008969F2">
              <w:rPr>
                <w:rFonts w:cs="Arial"/>
                <w:szCs w:val="24"/>
              </w:rPr>
              <w:t>Alteração</w:t>
            </w:r>
          </w:p>
        </w:tc>
        <w:tc>
          <w:tcPr>
            <w:tcW w:w="695" w:type="pct"/>
            <w:vAlign w:val="center"/>
          </w:tcPr>
          <w:p w:rsidR="00303426" w:rsidRPr="008969F2" w:rsidRDefault="00303426" w:rsidP="00937DBC">
            <w:pPr>
              <w:jc w:val="both"/>
              <w:rPr>
                <w:rFonts w:ascii="Arial" w:hAnsi="Arial" w:cs="Arial"/>
                <w:sz w:val="24"/>
                <w:szCs w:val="24"/>
              </w:rPr>
            </w:pPr>
            <w:r w:rsidRPr="008969F2">
              <w:rPr>
                <w:rFonts w:ascii="Arial" w:hAnsi="Arial" w:cs="Arial"/>
                <w:sz w:val="24"/>
                <w:szCs w:val="24"/>
              </w:rPr>
              <w:t>7.4</w:t>
            </w:r>
          </w:p>
        </w:tc>
        <w:tc>
          <w:tcPr>
            <w:tcW w:w="1667" w:type="pct"/>
            <w:vAlign w:val="center"/>
          </w:tcPr>
          <w:p w:rsidR="00303426" w:rsidRPr="008969F2" w:rsidRDefault="00303426" w:rsidP="00C50225">
            <w:pPr>
              <w:pStyle w:val="Legenda"/>
              <w:jc w:val="both"/>
              <w:rPr>
                <w:rFonts w:cs="Arial"/>
                <w:szCs w:val="24"/>
              </w:rPr>
            </w:pPr>
            <w:r w:rsidRPr="008969F2">
              <w:rPr>
                <w:rFonts w:cs="Arial"/>
                <w:szCs w:val="24"/>
              </w:rPr>
              <w:t>A licitante constituída no mesmo exercício social desta licitação deverá apresentar as Demonstrações Financeiras Intermediárias, vedada a sua substituição por balancetes provisórios, e, acompanhadas de parecer de auditor independente</w:t>
            </w:r>
            <w:r w:rsidR="006B04BE">
              <w:rPr>
                <w:rFonts w:cs="Arial"/>
                <w:szCs w:val="24"/>
              </w:rPr>
              <w:t xml:space="preserve">, </w:t>
            </w:r>
            <w:r w:rsidR="00C50225">
              <w:rPr>
                <w:rFonts w:cs="Arial"/>
                <w:szCs w:val="24"/>
              </w:rPr>
              <w:t xml:space="preserve">quando </w:t>
            </w:r>
            <w:r w:rsidR="006B04BE" w:rsidRPr="006B04BE">
              <w:rPr>
                <w:rFonts w:cs="Arial"/>
                <w:szCs w:val="24"/>
              </w:rPr>
              <w:t>este for exigido pela l</w:t>
            </w:r>
            <w:r w:rsidR="006B04BE">
              <w:rPr>
                <w:rFonts w:cs="Arial"/>
                <w:szCs w:val="24"/>
              </w:rPr>
              <w:t>egislação aplicável à licitante</w:t>
            </w:r>
            <w:r w:rsidRPr="008969F2">
              <w:rPr>
                <w:rFonts w:cs="Arial"/>
                <w:szCs w:val="24"/>
              </w:rPr>
              <w:t>. Neste caso, para fins de comprovação do patrimônio líquido, a licitante deverá apresentar uma cópia do seu último estatuto social arquivado no órgão de registro de comércio de sua jurisdição.</w:t>
            </w:r>
          </w:p>
        </w:tc>
        <w:tc>
          <w:tcPr>
            <w:tcW w:w="1568" w:type="pct"/>
            <w:vAlign w:val="center"/>
          </w:tcPr>
          <w:p w:rsidR="00303426" w:rsidRPr="008969F2" w:rsidRDefault="000B18A3" w:rsidP="00DE6718">
            <w:pPr>
              <w:pStyle w:val="Legenda"/>
              <w:jc w:val="both"/>
              <w:rPr>
                <w:rFonts w:cs="Arial"/>
                <w:szCs w:val="24"/>
              </w:rPr>
            </w:pPr>
            <w:r w:rsidRPr="008969F2">
              <w:rPr>
                <w:rFonts w:cs="Arial"/>
                <w:szCs w:val="24"/>
              </w:rPr>
              <w:t>Na legislação brasileira a obrigatoriedade do parecer de auditor independente é prevista na Lei nº. 6404/1976 e na Lei nº 11.638/2007 aplicando-se apenas para sociedades anônimas e sociedades limitadas de grande porte. Da mesma forma, a legislação societária aplicável às licitantes estrangeiras pode conter exigências específicas a respeito da auditoria independente. Desta forma, a exigência editalícia só deve ser aplicável quando a legislação societária aplicável à licitante exigir o parecer de auditor independente.</w:t>
            </w:r>
          </w:p>
        </w:tc>
      </w:tr>
      <w:tr w:rsidR="00EB252D" w:rsidRPr="008969F2" w:rsidTr="00335228">
        <w:trPr>
          <w:trHeight w:val="2268"/>
        </w:trPr>
        <w:tc>
          <w:tcPr>
            <w:tcW w:w="542" w:type="pct"/>
            <w:vAlign w:val="center"/>
          </w:tcPr>
          <w:p w:rsidR="00EB252D" w:rsidRPr="008969F2" w:rsidRDefault="00EB252D" w:rsidP="00EB252D">
            <w:pPr>
              <w:pStyle w:val="Legenda"/>
              <w:jc w:val="both"/>
              <w:rPr>
                <w:rFonts w:cs="Arial"/>
                <w:szCs w:val="24"/>
              </w:rPr>
            </w:pPr>
            <w:r w:rsidRPr="008969F2">
              <w:rPr>
                <w:rFonts w:cs="Arial"/>
                <w:szCs w:val="24"/>
              </w:rPr>
              <w:lastRenderedPageBreak/>
              <w:t>Pré-edital</w:t>
            </w:r>
          </w:p>
        </w:tc>
        <w:tc>
          <w:tcPr>
            <w:tcW w:w="528" w:type="pct"/>
            <w:vAlign w:val="center"/>
          </w:tcPr>
          <w:p w:rsidR="00EB252D" w:rsidRPr="008969F2" w:rsidRDefault="00EB252D" w:rsidP="00EB252D">
            <w:pPr>
              <w:pStyle w:val="Legenda"/>
              <w:jc w:val="both"/>
              <w:rPr>
                <w:rFonts w:cs="Arial"/>
                <w:szCs w:val="24"/>
              </w:rPr>
            </w:pPr>
            <w:r w:rsidRPr="008969F2">
              <w:rPr>
                <w:rFonts w:cs="Arial"/>
                <w:szCs w:val="24"/>
              </w:rPr>
              <w:t>Alteração</w:t>
            </w:r>
          </w:p>
        </w:tc>
        <w:tc>
          <w:tcPr>
            <w:tcW w:w="695" w:type="pct"/>
            <w:vAlign w:val="center"/>
          </w:tcPr>
          <w:p w:rsidR="00EB252D" w:rsidRPr="008969F2" w:rsidRDefault="00EB252D" w:rsidP="00EB252D">
            <w:pPr>
              <w:jc w:val="both"/>
              <w:rPr>
                <w:rFonts w:ascii="Arial" w:hAnsi="Arial" w:cs="Arial"/>
                <w:sz w:val="24"/>
                <w:szCs w:val="24"/>
              </w:rPr>
            </w:pPr>
            <w:r w:rsidRPr="008969F2">
              <w:rPr>
                <w:rFonts w:ascii="Arial" w:hAnsi="Arial" w:cs="Arial"/>
                <w:sz w:val="24"/>
                <w:szCs w:val="24"/>
              </w:rPr>
              <w:t>Tabela 16 A, item 7.4 b), coluna obrigatoriedade</w:t>
            </w:r>
          </w:p>
        </w:tc>
        <w:tc>
          <w:tcPr>
            <w:tcW w:w="1667" w:type="pct"/>
            <w:vAlign w:val="center"/>
          </w:tcPr>
          <w:p w:rsidR="00EB252D" w:rsidRPr="008969F2" w:rsidRDefault="00EB252D" w:rsidP="00DE6718">
            <w:pPr>
              <w:pStyle w:val="Legenda"/>
              <w:jc w:val="both"/>
              <w:rPr>
                <w:rFonts w:cs="Arial"/>
                <w:szCs w:val="24"/>
              </w:rPr>
            </w:pPr>
            <w:r w:rsidRPr="008969F2">
              <w:rPr>
                <w:rFonts w:cs="Arial"/>
                <w:szCs w:val="24"/>
              </w:rPr>
              <w:t>Se aplicável</w:t>
            </w:r>
          </w:p>
        </w:tc>
        <w:tc>
          <w:tcPr>
            <w:tcW w:w="1568" w:type="pct"/>
            <w:vAlign w:val="center"/>
          </w:tcPr>
          <w:p w:rsidR="00EB252D" w:rsidRPr="008969F2" w:rsidRDefault="00072065" w:rsidP="000B18A3">
            <w:pPr>
              <w:pStyle w:val="Legenda"/>
              <w:jc w:val="both"/>
              <w:rPr>
                <w:rFonts w:cs="Arial"/>
                <w:szCs w:val="24"/>
              </w:rPr>
            </w:pPr>
            <w:r w:rsidRPr="008969F2">
              <w:rPr>
                <w:rFonts w:cs="Arial"/>
                <w:szCs w:val="24"/>
              </w:rPr>
              <w:t xml:space="preserve">Na legislação brasileira a obrigatoriedade do parecer de auditor independente é prevista na Lei nº. 6404/1976 e na Lei nº 11.638/2007 aplicando-se apenas para sociedades anônimas e sociedades limitadas de grande porte. Da mesma forma, a </w:t>
            </w:r>
            <w:r w:rsidR="000B18A3" w:rsidRPr="008969F2">
              <w:rPr>
                <w:rFonts w:cs="Arial"/>
                <w:szCs w:val="24"/>
              </w:rPr>
              <w:t xml:space="preserve">legislação societária aplicável às licitantes estrangeiras pode conter exigências específicas a respeito da auditoria independente. </w:t>
            </w:r>
            <w:r w:rsidRPr="008969F2">
              <w:rPr>
                <w:rFonts w:cs="Arial"/>
                <w:szCs w:val="24"/>
              </w:rPr>
              <w:t xml:space="preserve">Desta forma, a exigência editalícia só deve ser aplicável quando a legislação societária aplicável à licitante exigir o parecer de auditor independente. </w:t>
            </w:r>
          </w:p>
        </w:tc>
      </w:tr>
      <w:tr w:rsidR="004D6A56" w:rsidRPr="008969F2" w:rsidTr="00335228">
        <w:trPr>
          <w:trHeight w:val="2268"/>
        </w:trPr>
        <w:tc>
          <w:tcPr>
            <w:tcW w:w="542" w:type="pct"/>
            <w:vAlign w:val="center"/>
          </w:tcPr>
          <w:p w:rsidR="004D6A56" w:rsidRPr="008969F2" w:rsidRDefault="004D6A56" w:rsidP="008969F2">
            <w:pPr>
              <w:pStyle w:val="Legenda"/>
              <w:jc w:val="both"/>
              <w:rPr>
                <w:rFonts w:cs="Arial"/>
                <w:szCs w:val="24"/>
              </w:rPr>
            </w:pPr>
            <w:r w:rsidRPr="008969F2">
              <w:rPr>
                <w:rFonts w:cs="Arial"/>
                <w:color w:val="000000" w:themeColor="text1"/>
                <w:szCs w:val="24"/>
              </w:rPr>
              <w:t>Minut</w:t>
            </w:r>
            <w:r w:rsidR="008969F2">
              <w:rPr>
                <w:rFonts w:cs="Arial"/>
                <w:color w:val="000000" w:themeColor="text1"/>
                <w:szCs w:val="24"/>
              </w:rPr>
              <w:t>a do contrato</w:t>
            </w:r>
          </w:p>
        </w:tc>
        <w:tc>
          <w:tcPr>
            <w:tcW w:w="528" w:type="pct"/>
            <w:vAlign w:val="center"/>
          </w:tcPr>
          <w:p w:rsidR="004D6A56" w:rsidRPr="008969F2" w:rsidRDefault="004D6A56" w:rsidP="00937DBC">
            <w:pPr>
              <w:pStyle w:val="Legenda"/>
              <w:jc w:val="center"/>
              <w:rPr>
                <w:rFonts w:cs="Arial"/>
                <w:color w:val="000000" w:themeColor="text1"/>
                <w:szCs w:val="24"/>
              </w:rPr>
            </w:pPr>
            <w:r w:rsidRPr="008969F2">
              <w:rPr>
                <w:rFonts w:cs="Arial"/>
                <w:color w:val="000000" w:themeColor="text1"/>
                <w:szCs w:val="24"/>
              </w:rPr>
              <w:t>Alteração</w:t>
            </w:r>
          </w:p>
        </w:tc>
        <w:tc>
          <w:tcPr>
            <w:tcW w:w="695" w:type="pct"/>
            <w:vAlign w:val="center"/>
          </w:tcPr>
          <w:p w:rsidR="004D6A56" w:rsidRPr="008969F2" w:rsidRDefault="004D6A56" w:rsidP="00937DBC">
            <w:pPr>
              <w:pStyle w:val="Legenda"/>
              <w:jc w:val="center"/>
              <w:rPr>
                <w:rFonts w:cs="Arial"/>
                <w:color w:val="000000" w:themeColor="text1"/>
                <w:szCs w:val="24"/>
              </w:rPr>
            </w:pPr>
            <w:r w:rsidRPr="008969F2">
              <w:rPr>
                <w:rFonts w:cs="Arial"/>
                <w:color w:val="000000" w:themeColor="text1"/>
                <w:szCs w:val="24"/>
              </w:rPr>
              <w:t>34.5 (j)</w:t>
            </w:r>
          </w:p>
        </w:tc>
        <w:tc>
          <w:tcPr>
            <w:tcW w:w="1667" w:type="pct"/>
            <w:vAlign w:val="center"/>
          </w:tcPr>
          <w:p w:rsidR="004D6A56" w:rsidRPr="008969F2" w:rsidRDefault="004D6A56" w:rsidP="00937DBC">
            <w:pPr>
              <w:pStyle w:val="Legenda"/>
              <w:jc w:val="both"/>
              <w:rPr>
                <w:rFonts w:cs="Arial"/>
                <w:bCs/>
                <w:iCs/>
                <w:szCs w:val="24"/>
                <w:lang w:val="pt-PT"/>
              </w:rPr>
            </w:pPr>
            <w:r w:rsidRPr="008969F2">
              <w:rPr>
                <w:rFonts w:cs="Arial"/>
                <w:szCs w:val="24"/>
              </w:rPr>
              <w:t>As despesas com custas da instituição arbitral e honorários de árbitros serão adiantados exclusivamente pela Parte que requerer a instalação da arbitragem. A sentença final condenará a(s) parte(s) perdedora(s) a arcar com essas custas e honorários, bem como às demais custas e despesas do processo arbitral que a(s) parte(s) vencedora(s) tiver desembolsado (salvo honorários advocatícios), proporcional e equitativamente ao resultado da arbitragem, incluindo, se for o caso, condenação da(s) parte(s) perdedora(s) a ressarcir a(s) parte(s) vencedora(s).</w:t>
            </w:r>
          </w:p>
          <w:p w:rsidR="004D6A56" w:rsidRPr="008969F2" w:rsidRDefault="004D6A56" w:rsidP="00937DBC">
            <w:pPr>
              <w:pStyle w:val="Legenda"/>
              <w:jc w:val="both"/>
              <w:rPr>
                <w:rFonts w:cs="Arial"/>
                <w:color w:val="000000" w:themeColor="text1"/>
                <w:szCs w:val="24"/>
                <w:lang w:val="pt-PT"/>
              </w:rPr>
            </w:pPr>
          </w:p>
        </w:tc>
        <w:tc>
          <w:tcPr>
            <w:tcW w:w="1568" w:type="pct"/>
            <w:vAlign w:val="center"/>
          </w:tcPr>
          <w:p w:rsidR="004D6A56" w:rsidRPr="008969F2" w:rsidRDefault="004D6A56" w:rsidP="00937DBC">
            <w:pPr>
              <w:pStyle w:val="Legenda"/>
              <w:jc w:val="both"/>
              <w:rPr>
                <w:rFonts w:cs="Arial"/>
                <w:szCs w:val="24"/>
              </w:rPr>
            </w:pPr>
            <w:r w:rsidRPr="008969F2">
              <w:rPr>
                <w:rFonts w:cs="Arial"/>
                <w:szCs w:val="24"/>
              </w:rPr>
              <w:t>Consideramos mais clara a referência aos termos "proporcionalidade" e "equidade" para fins de definição do valor a ser ressarcido, em linha com as melhores práticas em arbitragem. Além disso, as despesas e custas próprias incorridas pela parte vendedora também deverão ser objeto de ressarcimento.</w:t>
            </w:r>
          </w:p>
          <w:p w:rsidR="004D6A56" w:rsidRPr="008969F2" w:rsidRDefault="004D6A56" w:rsidP="00937DBC">
            <w:pPr>
              <w:rPr>
                <w:rFonts w:ascii="Arial" w:hAnsi="Arial" w:cs="Arial"/>
                <w:sz w:val="24"/>
                <w:szCs w:val="24"/>
              </w:rPr>
            </w:pPr>
          </w:p>
          <w:p w:rsidR="004D6A56" w:rsidRPr="008969F2" w:rsidRDefault="004D6A56" w:rsidP="00937DBC">
            <w:pPr>
              <w:rPr>
                <w:rFonts w:ascii="Arial" w:hAnsi="Arial" w:cs="Arial"/>
                <w:sz w:val="24"/>
                <w:szCs w:val="24"/>
              </w:rPr>
            </w:pPr>
          </w:p>
        </w:tc>
      </w:tr>
      <w:tr w:rsidR="00335228" w:rsidRPr="008969F2" w:rsidTr="00335228">
        <w:trPr>
          <w:trHeight w:val="2268"/>
        </w:trPr>
        <w:tc>
          <w:tcPr>
            <w:tcW w:w="542" w:type="pct"/>
            <w:vAlign w:val="center"/>
          </w:tcPr>
          <w:p w:rsidR="00335228" w:rsidRPr="008969F2" w:rsidRDefault="00335228" w:rsidP="008969F2">
            <w:pPr>
              <w:pStyle w:val="Legenda"/>
              <w:jc w:val="both"/>
              <w:rPr>
                <w:rFonts w:cs="Arial"/>
                <w:color w:val="000000" w:themeColor="text1"/>
                <w:szCs w:val="24"/>
              </w:rPr>
            </w:pPr>
            <w:r w:rsidRPr="008969F2">
              <w:rPr>
                <w:rFonts w:cs="Arial"/>
                <w:color w:val="000000" w:themeColor="text1"/>
                <w:szCs w:val="24"/>
              </w:rPr>
              <w:lastRenderedPageBreak/>
              <w:t>Minuta do contrato</w:t>
            </w:r>
          </w:p>
        </w:tc>
        <w:tc>
          <w:tcPr>
            <w:tcW w:w="528" w:type="pct"/>
            <w:vAlign w:val="center"/>
          </w:tcPr>
          <w:p w:rsidR="00335228" w:rsidRPr="008969F2" w:rsidRDefault="00335228" w:rsidP="00937DBC">
            <w:pPr>
              <w:pStyle w:val="Legenda"/>
              <w:jc w:val="center"/>
              <w:rPr>
                <w:rFonts w:cs="Arial"/>
                <w:color w:val="000000" w:themeColor="text1"/>
                <w:szCs w:val="24"/>
              </w:rPr>
            </w:pPr>
            <w:r w:rsidRPr="008969F2">
              <w:rPr>
                <w:rFonts w:cs="Arial"/>
                <w:color w:val="000000" w:themeColor="text1"/>
                <w:szCs w:val="24"/>
              </w:rPr>
              <w:t>Alteração</w:t>
            </w:r>
          </w:p>
        </w:tc>
        <w:tc>
          <w:tcPr>
            <w:tcW w:w="695" w:type="pct"/>
            <w:vAlign w:val="center"/>
          </w:tcPr>
          <w:p w:rsidR="00335228" w:rsidRPr="008969F2" w:rsidRDefault="00335228" w:rsidP="00937DBC">
            <w:pPr>
              <w:pStyle w:val="Legenda"/>
              <w:jc w:val="center"/>
              <w:rPr>
                <w:rFonts w:cs="Arial"/>
                <w:color w:val="000000" w:themeColor="text1"/>
                <w:szCs w:val="24"/>
              </w:rPr>
            </w:pPr>
            <w:r w:rsidRPr="008969F2">
              <w:rPr>
                <w:rFonts w:cs="Arial"/>
                <w:color w:val="000000" w:themeColor="text1"/>
                <w:szCs w:val="24"/>
              </w:rPr>
              <w:t>34.5 (k)</w:t>
            </w:r>
          </w:p>
        </w:tc>
        <w:tc>
          <w:tcPr>
            <w:tcW w:w="1667" w:type="pct"/>
            <w:vAlign w:val="center"/>
          </w:tcPr>
          <w:p w:rsidR="00335228" w:rsidRPr="008969F2" w:rsidRDefault="00335228" w:rsidP="00937DBC">
            <w:pPr>
              <w:pStyle w:val="Legenda"/>
              <w:jc w:val="both"/>
              <w:rPr>
                <w:rFonts w:cs="Arial"/>
                <w:szCs w:val="24"/>
              </w:rPr>
            </w:pPr>
            <w:r w:rsidRPr="008969F2">
              <w:rPr>
                <w:rFonts w:cs="Arial"/>
                <w:bCs/>
                <w:iCs/>
                <w:szCs w:val="24"/>
                <w:lang w:val="pt-PT"/>
              </w:rPr>
              <w:t>Havendo necessidade de prova pericial, o perito independente poderá designado de comum acordo entre as Partes ou, na falta de acordo, pelo Tribunal Arbitral. Os custos de tal perícia, incluindo honorários periciais, serão adiantados pela Parte que a requerer ou em partes iguais por cada lado da arbitragem, se proposta pelo Tribunal Arbitral. Tais custos serão suportados, ao final, pela Parte vencida, nos termos da alínea anterior. As Partes poderão indicar assistentes periciais de sua confiança por sua conta, mas tais custos não serão objeto de ressarcimento;</w:t>
            </w:r>
          </w:p>
        </w:tc>
        <w:tc>
          <w:tcPr>
            <w:tcW w:w="1568" w:type="pct"/>
            <w:vAlign w:val="center"/>
          </w:tcPr>
          <w:p w:rsidR="00335228" w:rsidRPr="008969F2" w:rsidRDefault="00335228" w:rsidP="00937DBC">
            <w:pPr>
              <w:pStyle w:val="Legenda"/>
              <w:jc w:val="both"/>
              <w:rPr>
                <w:rFonts w:cs="Arial"/>
                <w:szCs w:val="24"/>
              </w:rPr>
            </w:pPr>
            <w:r w:rsidRPr="008969F2">
              <w:rPr>
                <w:rFonts w:cs="Arial"/>
                <w:szCs w:val="24"/>
              </w:rPr>
              <w:t>Uma das grandes vantagens da arbitragem é a flexibilidade. Dessa forma, não seria benéfico fixar desde logo, para todos os procedimentos arbitrais, que a prova pericial seja feita por perito indicado pelo tribunal arbitral, até porque a melhor prática demonstra que em certas circunstâncias há outros meios mais eficientes de se produzir essa prova. Em vista do princípio da igualdade das partes, se a prova pericial for requerida de ofício pelos árbitros, cumpre que ambas as partes arquem com seus custos.</w:t>
            </w:r>
          </w:p>
        </w:tc>
      </w:tr>
      <w:tr w:rsidR="00335228" w:rsidRPr="008969F2" w:rsidTr="00335228">
        <w:trPr>
          <w:trHeight w:val="2268"/>
        </w:trPr>
        <w:tc>
          <w:tcPr>
            <w:tcW w:w="542" w:type="pct"/>
            <w:vAlign w:val="center"/>
          </w:tcPr>
          <w:p w:rsidR="00335228" w:rsidRPr="008969F2" w:rsidRDefault="00335228" w:rsidP="008969F2">
            <w:pPr>
              <w:pStyle w:val="Legenda"/>
              <w:jc w:val="both"/>
              <w:rPr>
                <w:rFonts w:cs="Arial"/>
                <w:color w:val="000000" w:themeColor="text1"/>
                <w:szCs w:val="24"/>
              </w:rPr>
            </w:pPr>
            <w:r w:rsidRPr="008969F2">
              <w:rPr>
                <w:rFonts w:cs="Arial"/>
                <w:color w:val="000000" w:themeColor="text1"/>
                <w:szCs w:val="24"/>
              </w:rPr>
              <w:t>Minut</w:t>
            </w:r>
            <w:r w:rsidR="008969F2">
              <w:rPr>
                <w:rFonts w:cs="Arial"/>
                <w:color w:val="000000" w:themeColor="text1"/>
                <w:szCs w:val="24"/>
              </w:rPr>
              <w:t>a do contrato</w:t>
            </w:r>
          </w:p>
        </w:tc>
        <w:tc>
          <w:tcPr>
            <w:tcW w:w="528" w:type="pct"/>
            <w:vAlign w:val="center"/>
          </w:tcPr>
          <w:p w:rsidR="00335228" w:rsidRPr="008969F2" w:rsidRDefault="00335228" w:rsidP="00937DBC">
            <w:pPr>
              <w:pStyle w:val="Legenda"/>
              <w:jc w:val="center"/>
              <w:rPr>
                <w:rFonts w:cs="Arial"/>
                <w:color w:val="000000" w:themeColor="text1"/>
                <w:szCs w:val="24"/>
              </w:rPr>
            </w:pPr>
            <w:r w:rsidRPr="008969F2">
              <w:rPr>
                <w:rFonts w:cs="Arial"/>
                <w:color w:val="000000" w:themeColor="text1"/>
                <w:szCs w:val="24"/>
              </w:rPr>
              <w:t>Alteração</w:t>
            </w:r>
          </w:p>
        </w:tc>
        <w:tc>
          <w:tcPr>
            <w:tcW w:w="695" w:type="pct"/>
            <w:vAlign w:val="center"/>
          </w:tcPr>
          <w:p w:rsidR="00335228" w:rsidRPr="008969F2" w:rsidRDefault="00335228" w:rsidP="00937DBC">
            <w:pPr>
              <w:pStyle w:val="Legenda"/>
              <w:jc w:val="center"/>
              <w:rPr>
                <w:rFonts w:cs="Arial"/>
                <w:color w:val="000000" w:themeColor="text1"/>
                <w:szCs w:val="24"/>
              </w:rPr>
            </w:pPr>
            <w:r w:rsidRPr="008969F2">
              <w:rPr>
                <w:rFonts w:cs="Arial"/>
                <w:color w:val="000000" w:themeColor="text1"/>
                <w:szCs w:val="24"/>
              </w:rPr>
              <w:t xml:space="preserve">34.5 (l) </w:t>
            </w:r>
          </w:p>
        </w:tc>
        <w:tc>
          <w:tcPr>
            <w:tcW w:w="1667" w:type="pct"/>
            <w:vAlign w:val="center"/>
          </w:tcPr>
          <w:p w:rsidR="00335228" w:rsidRPr="008969F2" w:rsidRDefault="00335228" w:rsidP="00937DBC">
            <w:pPr>
              <w:pStyle w:val="Contrato-Alnea"/>
              <w:rPr>
                <w:bCs/>
                <w:iCs/>
                <w:sz w:val="24"/>
                <w:szCs w:val="24"/>
                <w:lang w:val="pt-PT"/>
              </w:rPr>
            </w:pPr>
            <w:r w:rsidRPr="008969F2">
              <w:rPr>
                <w:bCs/>
                <w:iCs/>
                <w:sz w:val="24"/>
                <w:szCs w:val="24"/>
                <w:lang w:val="pt-PT"/>
              </w:rPr>
              <w:t xml:space="preserve">O Tribunal Arbitral condenará a Parte total ou parcialmente vencida ao pagamento de honorários advocatícios, nos termos dos artigos 85 e 86 do Código de Processo Civil brasileiro, ou norma que os suceda. </w:t>
            </w:r>
          </w:p>
          <w:p w:rsidR="00335228" w:rsidRPr="008969F2" w:rsidRDefault="00335228" w:rsidP="00937DBC">
            <w:pPr>
              <w:pStyle w:val="Legenda"/>
              <w:jc w:val="both"/>
              <w:rPr>
                <w:rFonts w:cs="Arial"/>
                <w:bCs/>
                <w:iCs/>
                <w:szCs w:val="24"/>
                <w:lang w:val="pt-PT"/>
              </w:rPr>
            </w:pPr>
          </w:p>
        </w:tc>
        <w:tc>
          <w:tcPr>
            <w:tcW w:w="1568" w:type="pct"/>
            <w:vAlign w:val="center"/>
          </w:tcPr>
          <w:p w:rsidR="00335228" w:rsidRPr="008969F2" w:rsidRDefault="00335228" w:rsidP="00937DBC">
            <w:pPr>
              <w:pStyle w:val="Legenda"/>
              <w:jc w:val="both"/>
              <w:rPr>
                <w:rFonts w:cs="Arial"/>
                <w:szCs w:val="24"/>
              </w:rPr>
            </w:pPr>
            <w:r w:rsidRPr="008969F2">
              <w:rPr>
                <w:rFonts w:cs="Arial"/>
                <w:szCs w:val="24"/>
              </w:rPr>
              <w:t>Deve ficar claro que a sucumbência só cobre honorários advocatícias. As demais despesas incorridas pela parte deverão ser ressarcidas na forma da cláusula 34.5 (j);</w:t>
            </w:r>
          </w:p>
        </w:tc>
      </w:tr>
      <w:tr w:rsidR="00335228" w:rsidRPr="008969F2" w:rsidTr="00335228">
        <w:trPr>
          <w:trHeight w:val="2268"/>
        </w:trPr>
        <w:tc>
          <w:tcPr>
            <w:tcW w:w="542" w:type="pct"/>
            <w:vAlign w:val="center"/>
          </w:tcPr>
          <w:p w:rsidR="00335228" w:rsidRPr="008969F2" w:rsidRDefault="00335228" w:rsidP="008969F2">
            <w:pPr>
              <w:pStyle w:val="Legenda"/>
              <w:jc w:val="both"/>
              <w:rPr>
                <w:rFonts w:cs="Arial"/>
                <w:color w:val="000000" w:themeColor="text1"/>
                <w:szCs w:val="24"/>
              </w:rPr>
            </w:pPr>
            <w:r w:rsidRPr="008969F2">
              <w:rPr>
                <w:rFonts w:cs="Arial"/>
                <w:color w:val="000000" w:themeColor="text1"/>
                <w:szCs w:val="24"/>
              </w:rPr>
              <w:t>Minut</w:t>
            </w:r>
            <w:r w:rsidR="008969F2">
              <w:rPr>
                <w:rFonts w:cs="Arial"/>
                <w:color w:val="000000" w:themeColor="text1"/>
                <w:szCs w:val="24"/>
              </w:rPr>
              <w:t>a do contrato</w:t>
            </w:r>
          </w:p>
        </w:tc>
        <w:tc>
          <w:tcPr>
            <w:tcW w:w="528" w:type="pct"/>
            <w:vAlign w:val="center"/>
          </w:tcPr>
          <w:p w:rsidR="00335228" w:rsidRPr="008969F2" w:rsidRDefault="00335228" w:rsidP="00937DBC">
            <w:pPr>
              <w:pStyle w:val="Legenda"/>
              <w:jc w:val="center"/>
              <w:rPr>
                <w:rFonts w:cs="Arial"/>
                <w:color w:val="000000" w:themeColor="text1"/>
                <w:szCs w:val="24"/>
              </w:rPr>
            </w:pPr>
            <w:r w:rsidRPr="008969F2">
              <w:rPr>
                <w:rFonts w:cs="Arial"/>
                <w:color w:val="000000" w:themeColor="text1"/>
                <w:szCs w:val="24"/>
              </w:rPr>
              <w:t>Alteração</w:t>
            </w:r>
          </w:p>
        </w:tc>
        <w:tc>
          <w:tcPr>
            <w:tcW w:w="695" w:type="pct"/>
            <w:vAlign w:val="center"/>
          </w:tcPr>
          <w:p w:rsidR="00335228" w:rsidRPr="008969F2" w:rsidRDefault="00335228" w:rsidP="00937DBC">
            <w:pPr>
              <w:pStyle w:val="Legenda"/>
              <w:jc w:val="center"/>
              <w:rPr>
                <w:rFonts w:cs="Arial"/>
                <w:color w:val="000000" w:themeColor="text1"/>
                <w:szCs w:val="24"/>
              </w:rPr>
            </w:pPr>
            <w:r w:rsidRPr="008969F2">
              <w:rPr>
                <w:rFonts w:cs="Arial"/>
                <w:color w:val="000000" w:themeColor="text1"/>
                <w:szCs w:val="24"/>
              </w:rPr>
              <w:t>34.5 (l)</w:t>
            </w:r>
          </w:p>
        </w:tc>
        <w:tc>
          <w:tcPr>
            <w:tcW w:w="1667" w:type="pct"/>
            <w:vAlign w:val="center"/>
          </w:tcPr>
          <w:p w:rsidR="00335228" w:rsidRPr="008969F2" w:rsidRDefault="00335228" w:rsidP="00937DBC">
            <w:pPr>
              <w:pStyle w:val="Contrato-Alnea"/>
              <w:rPr>
                <w:bCs/>
                <w:iCs/>
                <w:sz w:val="24"/>
                <w:szCs w:val="24"/>
                <w:lang w:val="pt-PT"/>
              </w:rPr>
            </w:pPr>
            <w:r w:rsidRPr="008969F2">
              <w:rPr>
                <w:bCs/>
                <w:iCs/>
                <w:sz w:val="24"/>
                <w:szCs w:val="24"/>
                <w:lang w:val="pt-PT"/>
              </w:rPr>
              <w:t xml:space="preserve">O procedimento arbitral deverá observar o princípio da publicidade. A divulgação das informações ficará a cargo da instituição arbitral que administrar o procedimento e será feita preferencialmente por via eletrônica. As partes deverão fixar os parâmetros da divulgação no Termo de </w:t>
            </w:r>
            <w:r w:rsidRPr="008969F2">
              <w:rPr>
                <w:bCs/>
                <w:iCs/>
                <w:sz w:val="24"/>
                <w:szCs w:val="24"/>
                <w:lang w:val="pt-PT"/>
              </w:rPr>
              <w:lastRenderedPageBreak/>
              <w:t>Arbitragem e os árbitros poderão suprir eventuais lacunas.</w:t>
            </w:r>
          </w:p>
        </w:tc>
        <w:tc>
          <w:tcPr>
            <w:tcW w:w="1568" w:type="pct"/>
            <w:vAlign w:val="center"/>
          </w:tcPr>
          <w:p w:rsidR="00335228" w:rsidRPr="008969F2" w:rsidRDefault="00335228" w:rsidP="00937DBC">
            <w:pPr>
              <w:pStyle w:val="Legenda"/>
              <w:jc w:val="both"/>
              <w:rPr>
                <w:rFonts w:cs="Arial"/>
                <w:szCs w:val="24"/>
                <w:lang w:val="pt-PT"/>
              </w:rPr>
            </w:pPr>
            <w:r w:rsidRPr="008969F2">
              <w:rPr>
                <w:rFonts w:cs="Arial"/>
                <w:szCs w:val="24"/>
                <w:lang w:val="pt-PT"/>
              </w:rPr>
              <w:lastRenderedPageBreak/>
              <w:t xml:space="preserve">O princípio da publicidade está sujeito a diversas exceções, tais como segredos de indústria, direito de intimidade e documentos ultrasecretos, secretos e confidenciais, de acordo com a Lei de Acesso a Informação. Nesse contexto, melhor seria delegar à partes ou, em caso de divergência ou </w:t>
            </w:r>
            <w:r w:rsidRPr="008969F2">
              <w:rPr>
                <w:rFonts w:cs="Arial"/>
                <w:szCs w:val="24"/>
                <w:lang w:val="pt-PT"/>
              </w:rPr>
              <w:lastRenderedPageBreak/>
              <w:t>lacuna, aos árbitros definir caso a caso como o princípio da publicidade será efetivado.</w:t>
            </w:r>
          </w:p>
        </w:tc>
      </w:tr>
      <w:tr w:rsidR="00335228" w:rsidRPr="008969F2" w:rsidTr="00335228">
        <w:trPr>
          <w:trHeight w:val="2268"/>
        </w:trPr>
        <w:tc>
          <w:tcPr>
            <w:tcW w:w="542" w:type="pct"/>
            <w:vAlign w:val="center"/>
          </w:tcPr>
          <w:p w:rsidR="00335228" w:rsidRPr="008969F2" w:rsidRDefault="00335228" w:rsidP="008969F2">
            <w:pPr>
              <w:pStyle w:val="Legenda"/>
              <w:jc w:val="both"/>
              <w:rPr>
                <w:rFonts w:cs="Arial"/>
                <w:color w:val="000000" w:themeColor="text1"/>
                <w:szCs w:val="24"/>
              </w:rPr>
            </w:pPr>
            <w:r w:rsidRPr="008969F2">
              <w:rPr>
                <w:rFonts w:cs="Arial"/>
                <w:color w:val="000000" w:themeColor="text1"/>
                <w:szCs w:val="24"/>
              </w:rPr>
              <w:lastRenderedPageBreak/>
              <w:t>Minut</w:t>
            </w:r>
            <w:r w:rsidR="008969F2">
              <w:rPr>
                <w:rFonts w:cs="Arial"/>
                <w:color w:val="000000" w:themeColor="text1"/>
                <w:szCs w:val="24"/>
              </w:rPr>
              <w:t>a do contrato</w:t>
            </w:r>
          </w:p>
        </w:tc>
        <w:tc>
          <w:tcPr>
            <w:tcW w:w="528" w:type="pct"/>
            <w:vAlign w:val="center"/>
          </w:tcPr>
          <w:p w:rsidR="00335228" w:rsidRPr="008969F2" w:rsidRDefault="00335228" w:rsidP="00937DBC">
            <w:pPr>
              <w:pStyle w:val="Legenda"/>
              <w:jc w:val="center"/>
              <w:rPr>
                <w:rFonts w:cs="Arial"/>
                <w:color w:val="000000" w:themeColor="text1"/>
                <w:szCs w:val="24"/>
              </w:rPr>
            </w:pPr>
            <w:r w:rsidRPr="008969F2">
              <w:rPr>
                <w:rFonts w:cs="Arial"/>
                <w:color w:val="000000" w:themeColor="text1"/>
                <w:szCs w:val="24"/>
              </w:rPr>
              <w:t>Exclusão</w:t>
            </w:r>
          </w:p>
        </w:tc>
        <w:tc>
          <w:tcPr>
            <w:tcW w:w="695" w:type="pct"/>
            <w:vAlign w:val="center"/>
          </w:tcPr>
          <w:p w:rsidR="00335228" w:rsidRPr="008969F2" w:rsidRDefault="00335228" w:rsidP="00937DBC">
            <w:pPr>
              <w:pStyle w:val="Legenda"/>
              <w:jc w:val="center"/>
              <w:rPr>
                <w:rFonts w:cs="Arial"/>
                <w:color w:val="000000" w:themeColor="text1"/>
                <w:szCs w:val="24"/>
              </w:rPr>
            </w:pPr>
            <w:r w:rsidRPr="008969F2">
              <w:rPr>
                <w:rFonts w:cs="Arial"/>
                <w:color w:val="000000" w:themeColor="text1"/>
                <w:szCs w:val="24"/>
              </w:rPr>
              <w:t>34.6.1</w:t>
            </w:r>
          </w:p>
        </w:tc>
        <w:tc>
          <w:tcPr>
            <w:tcW w:w="1667" w:type="pct"/>
            <w:vAlign w:val="center"/>
          </w:tcPr>
          <w:p w:rsidR="00335228" w:rsidRPr="008969F2" w:rsidRDefault="00335228" w:rsidP="00937DBC">
            <w:pPr>
              <w:pStyle w:val="Contrato-Alnea"/>
              <w:rPr>
                <w:bCs/>
                <w:iCs/>
                <w:sz w:val="24"/>
                <w:szCs w:val="24"/>
                <w:lang w:val="pt-PT"/>
              </w:rPr>
            </w:pPr>
            <w:r w:rsidRPr="008969F2">
              <w:rPr>
                <w:bCs/>
                <w:iCs/>
                <w:sz w:val="24"/>
                <w:szCs w:val="24"/>
                <w:lang w:val="pt-PT"/>
              </w:rPr>
              <w:t>Retirar todo o parágrafo.</w:t>
            </w:r>
          </w:p>
          <w:p w:rsidR="00335228" w:rsidRPr="008969F2" w:rsidRDefault="00335228" w:rsidP="00937DBC">
            <w:pPr>
              <w:pStyle w:val="Contrato-Alnea"/>
              <w:rPr>
                <w:bCs/>
                <w:iCs/>
                <w:sz w:val="24"/>
                <w:szCs w:val="24"/>
                <w:lang w:val="pt-PT"/>
              </w:rPr>
            </w:pPr>
          </w:p>
          <w:p w:rsidR="00335228" w:rsidRPr="008969F2" w:rsidRDefault="00335228" w:rsidP="00937DBC">
            <w:pPr>
              <w:pStyle w:val="Contrato-Alnea"/>
              <w:rPr>
                <w:bCs/>
                <w:iCs/>
                <w:sz w:val="24"/>
                <w:szCs w:val="24"/>
                <w:lang w:val="pt-PT"/>
              </w:rPr>
            </w:pPr>
            <w:r w:rsidRPr="008969F2">
              <w:rPr>
                <w:bCs/>
                <w:iCs/>
                <w:sz w:val="24"/>
                <w:szCs w:val="24"/>
                <w:lang w:val="pt-PT"/>
              </w:rPr>
              <w:t>Subsidiariamente, propomos a seguinte redação:</w:t>
            </w:r>
          </w:p>
          <w:p w:rsidR="00335228" w:rsidRPr="008969F2" w:rsidRDefault="00335228" w:rsidP="00937DBC">
            <w:pPr>
              <w:pStyle w:val="Contrato-Alnea"/>
              <w:rPr>
                <w:bCs/>
                <w:iCs/>
                <w:sz w:val="24"/>
                <w:szCs w:val="24"/>
                <w:lang w:val="pt-PT"/>
              </w:rPr>
            </w:pPr>
          </w:p>
          <w:p w:rsidR="00335228" w:rsidRPr="008969F2" w:rsidRDefault="00335228" w:rsidP="00937DBC">
            <w:pPr>
              <w:pStyle w:val="Contrato-Clausula-Nvel3"/>
              <w:numPr>
                <w:ilvl w:val="0"/>
                <w:numId w:val="0"/>
              </w:numPr>
              <w:ind w:left="1134" w:hanging="708"/>
              <w:rPr>
                <w:rFonts w:cs="Arial"/>
                <w:sz w:val="24"/>
                <w:szCs w:val="24"/>
                <w:lang w:val="pt-PT"/>
              </w:rPr>
            </w:pPr>
            <w:r w:rsidRPr="008969F2">
              <w:rPr>
                <w:rFonts w:cs="Arial"/>
                <w:sz w:val="24"/>
                <w:szCs w:val="24"/>
                <w:lang w:val="pt-PT"/>
              </w:rPr>
              <w:t>"Consideram-se controvérsias sobre direitos patrimoniais disponíveis, para fins meramente exemplificativos e sem prejuízo de outros não elencados abaixo:</w:t>
            </w:r>
          </w:p>
          <w:p w:rsidR="00335228" w:rsidRPr="008969F2" w:rsidRDefault="00335228" w:rsidP="00335228">
            <w:pPr>
              <w:pStyle w:val="Contrato-Alnea"/>
              <w:numPr>
                <w:ilvl w:val="0"/>
                <w:numId w:val="5"/>
              </w:numPr>
              <w:ind w:left="1418" w:hanging="284"/>
              <w:rPr>
                <w:bCs/>
                <w:iCs/>
                <w:sz w:val="24"/>
                <w:szCs w:val="24"/>
                <w:lang w:val="pt-PT"/>
              </w:rPr>
            </w:pPr>
            <w:r w:rsidRPr="008969F2">
              <w:rPr>
                <w:bCs/>
                <w:iCs/>
                <w:sz w:val="24"/>
                <w:szCs w:val="24"/>
                <w:lang w:val="pt-PT"/>
              </w:rPr>
              <w:t>incidência de penalidades contratuais e seu cálculo, e controvérsias            decorrentes da execução de garantias;</w:t>
            </w:r>
          </w:p>
          <w:p w:rsidR="00335228" w:rsidRPr="008969F2" w:rsidRDefault="00335228" w:rsidP="00335228">
            <w:pPr>
              <w:pStyle w:val="Contrato-Alnea"/>
              <w:numPr>
                <w:ilvl w:val="0"/>
                <w:numId w:val="5"/>
              </w:numPr>
              <w:ind w:left="1418" w:hanging="284"/>
              <w:rPr>
                <w:bCs/>
                <w:iCs/>
                <w:sz w:val="24"/>
                <w:szCs w:val="24"/>
                <w:lang w:val="pt-PT"/>
              </w:rPr>
            </w:pPr>
            <w:r w:rsidRPr="008969F2">
              <w:rPr>
                <w:bCs/>
                <w:iCs/>
                <w:sz w:val="24"/>
                <w:szCs w:val="24"/>
                <w:lang w:val="pt-PT"/>
              </w:rPr>
              <w:t xml:space="preserve">o cálculo de indenizações decorrentes de extinção ou </w:t>
            </w:r>
            <w:r w:rsidRPr="008969F2">
              <w:rPr>
                <w:bCs/>
                <w:iCs/>
                <w:sz w:val="24"/>
                <w:szCs w:val="24"/>
                <w:lang w:val="pt-PT"/>
              </w:rPr>
              <w:lastRenderedPageBreak/>
              <w:t xml:space="preserve">de transferência do Contrato; </w:t>
            </w:r>
          </w:p>
          <w:p w:rsidR="00335228" w:rsidRPr="008969F2" w:rsidRDefault="00335228" w:rsidP="00335228">
            <w:pPr>
              <w:pStyle w:val="Contrato-Alnea"/>
              <w:numPr>
                <w:ilvl w:val="0"/>
                <w:numId w:val="5"/>
              </w:numPr>
              <w:ind w:left="1418" w:hanging="284"/>
              <w:rPr>
                <w:sz w:val="24"/>
                <w:szCs w:val="24"/>
              </w:rPr>
            </w:pPr>
            <w:r w:rsidRPr="008969F2">
              <w:rPr>
                <w:bCs/>
                <w:iCs/>
                <w:sz w:val="24"/>
                <w:szCs w:val="24"/>
                <w:lang w:val="pt-PT"/>
              </w:rPr>
              <w:t>o inadimplemento de obrigações contratuais por qualquer das partes;</w:t>
            </w:r>
          </w:p>
          <w:p w:rsidR="00335228" w:rsidRPr="008969F2" w:rsidRDefault="00335228" w:rsidP="00335228">
            <w:pPr>
              <w:pStyle w:val="Contrato-Alnea"/>
              <w:numPr>
                <w:ilvl w:val="0"/>
                <w:numId w:val="5"/>
              </w:numPr>
              <w:ind w:left="1418" w:hanging="284"/>
              <w:rPr>
                <w:sz w:val="24"/>
                <w:szCs w:val="24"/>
              </w:rPr>
            </w:pPr>
            <w:r w:rsidRPr="008969F2">
              <w:rPr>
                <w:sz w:val="24"/>
                <w:szCs w:val="24"/>
              </w:rPr>
              <w:t>demandas relacionadas a direito ou obrigação contratual;</w:t>
            </w:r>
          </w:p>
          <w:p w:rsidR="00335228" w:rsidRPr="008969F2" w:rsidRDefault="00335228" w:rsidP="00335228">
            <w:pPr>
              <w:pStyle w:val="Contrato-Alnea"/>
              <w:numPr>
                <w:ilvl w:val="0"/>
                <w:numId w:val="5"/>
              </w:numPr>
              <w:ind w:left="1418" w:hanging="284"/>
              <w:rPr>
                <w:sz w:val="24"/>
                <w:szCs w:val="24"/>
              </w:rPr>
            </w:pPr>
            <w:r w:rsidRPr="008969F2">
              <w:rPr>
                <w:sz w:val="24"/>
                <w:szCs w:val="24"/>
              </w:rPr>
              <w:t>aplicação de dispositivo legal ou regulamentar à cláusulas, termos e condições contratuais."</w:t>
            </w:r>
          </w:p>
          <w:p w:rsidR="00335228" w:rsidRPr="008969F2" w:rsidRDefault="00335228" w:rsidP="00937DBC">
            <w:pPr>
              <w:pStyle w:val="Contrato-Alnea"/>
              <w:rPr>
                <w:bCs/>
                <w:iCs/>
                <w:sz w:val="24"/>
                <w:szCs w:val="24"/>
              </w:rPr>
            </w:pPr>
          </w:p>
        </w:tc>
        <w:tc>
          <w:tcPr>
            <w:tcW w:w="1568" w:type="pct"/>
            <w:vAlign w:val="center"/>
          </w:tcPr>
          <w:p w:rsidR="00335228" w:rsidRPr="008969F2" w:rsidRDefault="00335228" w:rsidP="00937DBC">
            <w:pPr>
              <w:pStyle w:val="Legenda"/>
              <w:jc w:val="both"/>
              <w:rPr>
                <w:rFonts w:cs="Arial"/>
                <w:szCs w:val="24"/>
              </w:rPr>
            </w:pPr>
            <w:r w:rsidRPr="008969F2">
              <w:rPr>
                <w:rFonts w:cs="Arial"/>
                <w:szCs w:val="24"/>
              </w:rPr>
              <w:lastRenderedPageBreak/>
              <w:t xml:space="preserve">O conceito de direito patrimonial disponível decorre da Lei nº 9.307/1996 e das legislações específicas. Não cabe ao Contrato de Concessão tentar defini-lo, o que iria gerar insegurança jurídica. </w:t>
            </w:r>
          </w:p>
          <w:p w:rsidR="00335228" w:rsidRPr="008969F2" w:rsidRDefault="00335228" w:rsidP="00937DBC">
            <w:pPr>
              <w:pStyle w:val="Legenda"/>
              <w:jc w:val="both"/>
              <w:rPr>
                <w:rFonts w:cs="Arial"/>
                <w:szCs w:val="24"/>
              </w:rPr>
            </w:pPr>
          </w:p>
          <w:p w:rsidR="00335228" w:rsidRPr="008969F2" w:rsidRDefault="00335228" w:rsidP="00937DBC">
            <w:pPr>
              <w:pStyle w:val="Legenda"/>
              <w:jc w:val="both"/>
              <w:rPr>
                <w:rFonts w:cs="Arial"/>
                <w:szCs w:val="24"/>
              </w:rPr>
            </w:pPr>
            <w:r w:rsidRPr="008969F2">
              <w:rPr>
                <w:rFonts w:cs="Arial"/>
                <w:szCs w:val="24"/>
              </w:rPr>
              <w:t xml:space="preserve">Na pior das hipóteses, deve ficar claro que se trata de rol meramente exemplificativo. </w:t>
            </w:r>
          </w:p>
          <w:p w:rsidR="00335228" w:rsidRPr="008969F2" w:rsidRDefault="00335228" w:rsidP="00937DBC">
            <w:pPr>
              <w:pStyle w:val="Legenda"/>
              <w:jc w:val="both"/>
              <w:rPr>
                <w:rFonts w:cs="Arial"/>
                <w:szCs w:val="24"/>
              </w:rPr>
            </w:pPr>
          </w:p>
          <w:p w:rsidR="00335228" w:rsidRPr="008969F2" w:rsidRDefault="00335228" w:rsidP="00937DBC">
            <w:pPr>
              <w:rPr>
                <w:rFonts w:ascii="Arial" w:hAnsi="Arial" w:cs="Arial"/>
                <w:sz w:val="24"/>
                <w:szCs w:val="24"/>
              </w:rPr>
            </w:pPr>
          </w:p>
        </w:tc>
      </w:tr>
    </w:tbl>
    <w:p w:rsidR="00764EB1" w:rsidRPr="008969F2" w:rsidRDefault="00764EB1" w:rsidP="004D421E">
      <w:pPr>
        <w:pStyle w:val="Legenda"/>
        <w:spacing w:line="360" w:lineRule="auto"/>
        <w:jc w:val="both"/>
        <w:rPr>
          <w:rFonts w:cs="Arial"/>
          <w:szCs w:val="24"/>
          <w:u w:val="single"/>
        </w:rPr>
      </w:pPr>
    </w:p>
    <w:p w:rsidR="00356303" w:rsidRPr="008969F2" w:rsidRDefault="00356303" w:rsidP="00356303">
      <w:pPr>
        <w:rPr>
          <w:rFonts w:ascii="Arial" w:hAnsi="Arial" w:cs="Arial"/>
          <w:sz w:val="24"/>
          <w:szCs w:val="24"/>
        </w:rPr>
      </w:pPr>
    </w:p>
    <w:p w:rsidR="00356303" w:rsidRPr="008969F2" w:rsidRDefault="00356303" w:rsidP="00356303">
      <w:pPr>
        <w:rPr>
          <w:rFonts w:ascii="Arial" w:hAnsi="Arial" w:cs="Arial"/>
          <w:sz w:val="24"/>
          <w:szCs w:val="24"/>
        </w:rPr>
      </w:pPr>
    </w:p>
    <w:p w:rsidR="00356303" w:rsidRPr="008969F2" w:rsidRDefault="00356303" w:rsidP="00356303">
      <w:pPr>
        <w:rPr>
          <w:rFonts w:ascii="Arial" w:hAnsi="Arial" w:cs="Arial"/>
          <w:sz w:val="24"/>
          <w:szCs w:val="24"/>
        </w:rPr>
      </w:pPr>
    </w:p>
    <w:p w:rsidR="00356303" w:rsidRPr="008969F2" w:rsidRDefault="00356303" w:rsidP="00356303">
      <w:pPr>
        <w:rPr>
          <w:rFonts w:ascii="Arial" w:hAnsi="Arial" w:cs="Arial"/>
          <w:sz w:val="24"/>
          <w:szCs w:val="24"/>
        </w:rPr>
      </w:pPr>
    </w:p>
    <w:p w:rsidR="00356303" w:rsidRPr="008969F2" w:rsidRDefault="00356303" w:rsidP="00356303">
      <w:pPr>
        <w:rPr>
          <w:rFonts w:ascii="Arial" w:hAnsi="Arial" w:cs="Arial"/>
          <w:sz w:val="24"/>
          <w:szCs w:val="24"/>
        </w:rPr>
      </w:pPr>
    </w:p>
    <w:p w:rsidR="00356303" w:rsidRPr="008969F2" w:rsidRDefault="00356303" w:rsidP="00356303">
      <w:pPr>
        <w:rPr>
          <w:rFonts w:ascii="Arial" w:hAnsi="Arial" w:cs="Arial"/>
          <w:sz w:val="24"/>
          <w:szCs w:val="24"/>
        </w:rPr>
      </w:pPr>
    </w:p>
    <w:sectPr w:rsidR="00356303" w:rsidRPr="008969F2" w:rsidSect="00FB378C">
      <w:headerReference w:type="default" r:id="rId9"/>
      <w:footerReference w:type="default" r:id="rId10"/>
      <w:headerReference w:type="first" r:id="rId11"/>
      <w:footerReference w:type="first" r:id="rId12"/>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89E" w:rsidRDefault="001A489E" w:rsidP="00842086">
      <w:r>
        <w:separator/>
      </w:r>
    </w:p>
  </w:endnote>
  <w:endnote w:type="continuationSeparator" w:id="0">
    <w:p w:rsidR="001A489E" w:rsidRDefault="001A489E"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2CF" w:rsidRDefault="001C12CF">
    <w:pPr>
      <w:pStyle w:val="Rodap"/>
      <w:jc w:val="right"/>
    </w:pPr>
    <w:r>
      <w:fldChar w:fldCharType="begin"/>
    </w:r>
    <w:r>
      <w:instrText xml:space="preserve"> PAGE   \* MERGEFORMAT </w:instrText>
    </w:r>
    <w:r>
      <w:fldChar w:fldCharType="separate"/>
    </w:r>
    <w:r w:rsidR="0058433D">
      <w:rPr>
        <w:noProof/>
      </w:rPr>
      <w:t>2</w:t>
    </w:r>
    <w:r>
      <w:fldChar w:fldCharType="end"/>
    </w:r>
  </w:p>
  <w:p w:rsidR="001C12CF" w:rsidRDefault="001C12C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2CF" w:rsidRDefault="001C12CF">
    <w:pPr>
      <w:pStyle w:val="Rodap"/>
      <w:jc w:val="right"/>
    </w:pPr>
    <w:r>
      <w:fldChar w:fldCharType="begin"/>
    </w:r>
    <w:r>
      <w:instrText xml:space="preserve"> PAGE   \* MERGEFORMAT </w:instrText>
    </w:r>
    <w:r>
      <w:fldChar w:fldCharType="separate"/>
    </w:r>
    <w:r w:rsidR="0058433D">
      <w:rPr>
        <w:noProof/>
      </w:rPr>
      <w:t>1</w:t>
    </w:r>
    <w:r>
      <w:fldChar w:fldCharType="end"/>
    </w:r>
  </w:p>
  <w:p w:rsidR="001C12CF" w:rsidRDefault="001C12C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89E" w:rsidRDefault="001A489E" w:rsidP="00842086">
      <w:r>
        <w:separator/>
      </w:r>
    </w:p>
  </w:footnote>
  <w:footnote w:type="continuationSeparator" w:id="0">
    <w:p w:rsidR="001A489E" w:rsidRDefault="001A489E"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2CF" w:rsidRDefault="001C12CF"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189"/>
      <w:gridCol w:w="6098"/>
    </w:tblGrid>
    <w:tr w:rsidR="001C12CF" w:rsidRPr="00B27481" w:rsidTr="003967EB">
      <w:tc>
        <w:tcPr>
          <w:tcW w:w="2866" w:type="pct"/>
          <w:tcBorders>
            <w:top w:val="single" w:sz="4" w:space="0" w:color="808080" w:themeColor="background1" w:themeShade="80"/>
            <w:bottom w:val="single" w:sz="4" w:space="0" w:color="808080" w:themeColor="background1" w:themeShade="80"/>
          </w:tcBorders>
          <w:vAlign w:val="center"/>
        </w:tcPr>
        <w:p w:rsidR="001C12CF" w:rsidRPr="0036380F" w:rsidRDefault="001C12CF" w:rsidP="003967EB">
          <w:pPr>
            <w:pStyle w:val="Cabealho"/>
            <w:spacing w:before="240" w:after="240"/>
            <w:rPr>
              <w:rFonts w:ascii="Arial" w:hAnsi="Arial" w:cs="Arial"/>
              <w:sz w:val="24"/>
              <w:szCs w:val="24"/>
            </w:rPr>
          </w:pPr>
          <w:r w:rsidRPr="00A51516">
            <w:rPr>
              <w:rFonts w:ascii="Arial" w:hAnsi="Arial" w:cs="Arial"/>
              <w:noProof/>
              <w:sz w:val="24"/>
              <w:szCs w:val="24"/>
            </w:rPr>
            <w:drawing>
              <wp:inline distT="0" distB="0" distL="0" distR="0" wp14:anchorId="25020B9A" wp14:editId="5A83E13E">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Pr>
              <w:rFonts w:ascii="Arial" w:hAnsi="Arial" w:cs="Arial"/>
              <w:noProof/>
              <w:sz w:val="24"/>
              <w:szCs w:val="24"/>
            </w:rPr>
            <w:drawing>
              <wp:inline distT="0" distB="0" distL="0" distR="0" wp14:anchorId="1065009C" wp14:editId="0DD52888">
                <wp:extent cx="2152650" cy="111143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15_Portugues.gif"/>
                        <pic:cNvPicPr/>
                      </pic:nvPicPr>
                      <pic:blipFill>
                        <a:blip r:embed="rId2">
                          <a:extLst>
                            <a:ext uri="{28A0092B-C50C-407E-A947-70E740481C1C}">
                              <a14:useLocalDpi xmlns:a14="http://schemas.microsoft.com/office/drawing/2010/main" val="0"/>
                            </a:ext>
                          </a:extLst>
                        </a:blip>
                        <a:stretch>
                          <a:fillRect/>
                        </a:stretch>
                      </pic:blipFill>
                      <pic:spPr>
                        <a:xfrm>
                          <a:off x="0" y="0"/>
                          <a:ext cx="2186988" cy="1129164"/>
                        </a:xfrm>
                        <a:prstGeom prst="rect">
                          <a:avLst/>
                        </a:prstGeom>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rsidR="001C12CF" w:rsidRPr="00B27481" w:rsidRDefault="001C12CF"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Pr>
              <w:rFonts w:ascii="Arial" w:hAnsi="Arial" w:cs="Arial"/>
              <w:b/>
              <w:sz w:val="28"/>
              <w:szCs w:val="28"/>
            </w:rPr>
            <w:t>25</w:t>
          </w:r>
          <w:r w:rsidRPr="00B27481">
            <w:rPr>
              <w:rFonts w:ascii="Arial" w:hAnsi="Arial" w:cs="Arial"/>
              <w:b/>
              <w:sz w:val="28"/>
              <w:szCs w:val="28"/>
            </w:rPr>
            <w:t>/201</w:t>
          </w:r>
          <w:r>
            <w:rPr>
              <w:rFonts w:ascii="Arial" w:hAnsi="Arial" w:cs="Arial"/>
              <w:b/>
              <w:sz w:val="28"/>
              <w:szCs w:val="28"/>
            </w:rPr>
            <w:t>7</w:t>
          </w:r>
        </w:p>
        <w:p w:rsidR="001C12CF" w:rsidRPr="00B27481" w:rsidRDefault="001C12CF"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rsidR="001C12CF" w:rsidRDefault="001C12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291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2" w15:restartNumberingAfterBreak="0">
    <w:nsid w:val="5EEC5A5E"/>
    <w:multiLevelType w:val="hybridMultilevel"/>
    <w:tmpl w:val="05C0E38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15:restartNumberingAfterBreak="0">
    <w:nsid w:val="7CD83F2B"/>
    <w:multiLevelType w:val="hybridMultilevel"/>
    <w:tmpl w:val="7B02896C"/>
    <w:lvl w:ilvl="0" w:tplc="7C203B6E">
      <w:start w:val="1"/>
      <w:numFmt w:val="decimal"/>
      <w:lvlText w:val="d.%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MReference" w:val="5241216-v1\RIODMS"/>
    <w:docVar w:name="OfficeIni" w:val="Brasilia - ENGLISH.ini"/>
  </w:docVars>
  <w:rsids>
    <w:rsidRoot w:val="00842086"/>
    <w:rsid w:val="00006A74"/>
    <w:rsid w:val="00025ACA"/>
    <w:rsid w:val="00072065"/>
    <w:rsid w:val="0009430E"/>
    <w:rsid w:val="000A4217"/>
    <w:rsid w:val="000B18A3"/>
    <w:rsid w:val="000C0815"/>
    <w:rsid w:val="000C0894"/>
    <w:rsid w:val="000C7F3F"/>
    <w:rsid w:val="000E6393"/>
    <w:rsid w:val="000E7BC7"/>
    <w:rsid w:val="00103946"/>
    <w:rsid w:val="00193747"/>
    <w:rsid w:val="001965B6"/>
    <w:rsid w:val="001A489E"/>
    <w:rsid w:val="001B0976"/>
    <w:rsid w:val="001C12CF"/>
    <w:rsid w:val="002051F9"/>
    <w:rsid w:val="002158EA"/>
    <w:rsid w:val="0022423B"/>
    <w:rsid w:val="002272D4"/>
    <w:rsid w:val="00256685"/>
    <w:rsid w:val="00264138"/>
    <w:rsid w:val="002658D5"/>
    <w:rsid w:val="00273B85"/>
    <w:rsid w:val="002905FD"/>
    <w:rsid w:val="002A1E27"/>
    <w:rsid w:val="00300B92"/>
    <w:rsid w:val="00303426"/>
    <w:rsid w:val="00314BDB"/>
    <w:rsid w:val="003157F7"/>
    <w:rsid w:val="003211A1"/>
    <w:rsid w:val="00324466"/>
    <w:rsid w:val="00327F69"/>
    <w:rsid w:val="00335228"/>
    <w:rsid w:val="003534A9"/>
    <w:rsid w:val="00356303"/>
    <w:rsid w:val="0036380F"/>
    <w:rsid w:val="003967EB"/>
    <w:rsid w:val="003B7B4E"/>
    <w:rsid w:val="003D5BFF"/>
    <w:rsid w:val="003D6CBE"/>
    <w:rsid w:val="003E5715"/>
    <w:rsid w:val="003F022F"/>
    <w:rsid w:val="003F742E"/>
    <w:rsid w:val="0040140A"/>
    <w:rsid w:val="00412AA7"/>
    <w:rsid w:val="00471ADB"/>
    <w:rsid w:val="004A005A"/>
    <w:rsid w:val="004B7788"/>
    <w:rsid w:val="004C0021"/>
    <w:rsid w:val="004D421E"/>
    <w:rsid w:val="004D6A56"/>
    <w:rsid w:val="004F050F"/>
    <w:rsid w:val="005475CD"/>
    <w:rsid w:val="005600AD"/>
    <w:rsid w:val="0056683F"/>
    <w:rsid w:val="0058433D"/>
    <w:rsid w:val="00584657"/>
    <w:rsid w:val="005A3CFC"/>
    <w:rsid w:val="005A66BD"/>
    <w:rsid w:val="005B3CEF"/>
    <w:rsid w:val="005B7D75"/>
    <w:rsid w:val="005C4925"/>
    <w:rsid w:val="005C5B4E"/>
    <w:rsid w:val="005C6E8E"/>
    <w:rsid w:val="005D7856"/>
    <w:rsid w:val="00605710"/>
    <w:rsid w:val="00615A71"/>
    <w:rsid w:val="006237AD"/>
    <w:rsid w:val="0062557C"/>
    <w:rsid w:val="006458BC"/>
    <w:rsid w:val="00675939"/>
    <w:rsid w:val="006914CB"/>
    <w:rsid w:val="00692DF6"/>
    <w:rsid w:val="006B04BE"/>
    <w:rsid w:val="006D46B6"/>
    <w:rsid w:val="006E3142"/>
    <w:rsid w:val="006E6EB3"/>
    <w:rsid w:val="006E7756"/>
    <w:rsid w:val="006F3664"/>
    <w:rsid w:val="007178AA"/>
    <w:rsid w:val="0072007B"/>
    <w:rsid w:val="0072285E"/>
    <w:rsid w:val="007647F7"/>
    <w:rsid w:val="00764EB1"/>
    <w:rsid w:val="007662D7"/>
    <w:rsid w:val="00790216"/>
    <w:rsid w:val="007A5909"/>
    <w:rsid w:val="007C70F2"/>
    <w:rsid w:val="007E2560"/>
    <w:rsid w:val="007F31FF"/>
    <w:rsid w:val="007F7936"/>
    <w:rsid w:val="00820EE1"/>
    <w:rsid w:val="0083277E"/>
    <w:rsid w:val="00842086"/>
    <w:rsid w:val="008500E0"/>
    <w:rsid w:val="00854EE5"/>
    <w:rsid w:val="008675C5"/>
    <w:rsid w:val="00870D33"/>
    <w:rsid w:val="00883495"/>
    <w:rsid w:val="00896952"/>
    <w:rsid w:val="008969F2"/>
    <w:rsid w:val="008A590E"/>
    <w:rsid w:val="008E7D7F"/>
    <w:rsid w:val="00906CB0"/>
    <w:rsid w:val="00913328"/>
    <w:rsid w:val="0092578B"/>
    <w:rsid w:val="009271A8"/>
    <w:rsid w:val="00932C2C"/>
    <w:rsid w:val="009403DB"/>
    <w:rsid w:val="0099566E"/>
    <w:rsid w:val="009E51BF"/>
    <w:rsid w:val="00A26121"/>
    <w:rsid w:val="00A51516"/>
    <w:rsid w:val="00A621DA"/>
    <w:rsid w:val="00A85EA2"/>
    <w:rsid w:val="00A91CC2"/>
    <w:rsid w:val="00AB3B7A"/>
    <w:rsid w:val="00AC3176"/>
    <w:rsid w:val="00AC75F7"/>
    <w:rsid w:val="00AC7BE3"/>
    <w:rsid w:val="00AE02B1"/>
    <w:rsid w:val="00B13EFD"/>
    <w:rsid w:val="00B25C8F"/>
    <w:rsid w:val="00B27481"/>
    <w:rsid w:val="00B40F4C"/>
    <w:rsid w:val="00B43186"/>
    <w:rsid w:val="00B802F6"/>
    <w:rsid w:val="00BA4C9C"/>
    <w:rsid w:val="00BC0BC7"/>
    <w:rsid w:val="00BC1BBC"/>
    <w:rsid w:val="00BD25AC"/>
    <w:rsid w:val="00BE0221"/>
    <w:rsid w:val="00BE32DE"/>
    <w:rsid w:val="00BE400D"/>
    <w:rsid w:val="00C102D5"/>
    <w:rsid w:val="00C216E6"/>
    <w:rsid w:val="00C44A37"/>
    <w:rsid w:val="00C50225"/>
    <w:rsid w:val="00C57F32"/>
    <w:rsid w:val="00C736AC"/>
    <w:rsid w:val="00C85228"/>
    <w:rsid w:val="00C855A3"/>
    <w:rsid w:val="00C91D69"/>
    <w:rsid w:val="00C969A0"/>
    <w:rsid w:val="00CA289A"/>
    <w:rsid w:val="00CB1AA4"/>
    <w:rsid w:val="00CC7D73"/>
    <w:rsid w:val="00CF02E6"/>
    <w:rsid w:val="00CF2944"/>
    <w:rsid w:val="00D23A62"/>
    <w:rsid w:val="00D45EC6"/>
    <w:rsid w:val="00DE6718"/>
    <w:rsid w:val="00E05AB8"/>
    <w:rsid w:val="00E548B4"/>
    <w:rsid w:val="00E91A45"/>
    <w:rsid w:val="00EA1DC4"/>
    <w:rsid w:val="00EB252D"/>
    <w:rsid w:val="00ED28BC"/>
    <w:rsid w:val="00ED6E0A"/>
    <w:rsid w:val="00EF4AFC"/>
    <w:rsid w:val="00F17272"/>
    <w:rsid w:val="00F34DFC"/>
    <w:rsid w:val="00F503A5"/>
    <w:rsid w:val="00F63177"/>
    <w:rsid w:val="00F637D7"/>
    <w:rsid w:val="00FA7129"/>
    <w:rsid w:val="00FB0E61"/>
    <w:rsid w:val="00FB37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8BBDA8-288B-40BE-B628-71E5B7D19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Edital-Subalneaa1">
    <w:name w:val="Edital - Subalínea (a1)"/>
    <w:basedOn w:val="Normal"/>
    <w:qFormat/>
    <w:rsid w:val="00A85EA2"/>
    <w:pPr>
      <w:spacing w:line="360" w:lineRule="auto"/>
      <w:jc w:val="both"/>
    </w:pPr>
    <w:rPr>
      <w:rFonts w:ascii="Arial" w:hAnsi="Arial" w:cs="Arial"/>
      <w:sz w:val="22"/>
    </w:rPr>
  </w:style>
  <w:style w:type="paragraph" w:customStyle="1" w:styleId="Default">
    <w:name w:val="Default"/>
    <w:rsid w:val="006E6EB3"/>
    <w:pPr>
      <w:autoSpaceDE w:val="0"/>
      <w:autoSpaceDN w:val="0"/>
      <w:adjustRightInd w:val="0"/>
      <w:jc w:val="left"/>
    </w:pPr>
    <w:rPr>
      <w:rFonts w:ascii="Arial" w:hAnsi="Arial" w:cs="Arial"/>
      <w:color w:val="000000"/>
    </w:rPr>
  </w:style>
  <w:style w:type="paragraph" w:customStyle="1" w:styleId="Contrato-Alnea">
    <w:name w:val="Contrato - Alínea"/>
    <w:basedOn w:val="Normal"/>
    <w:qFormat/>
    <w:rsid w:val="00335228"/>
    <w:pPr>
      <w:spacing w:before="200" w:after="200"/>
      <w:jc w:val="both"/>
    </w:pPr>
    <w:rPr>
      <w:rFonts w:ascii="Arial" w:hAnsi="Arial" w:cs="Arial"/>
      <w:sz w:val="22"/>
      <w:szCs w:val="22"/>
    </w:rPr>
  </w:style>
  <w:style w:type="paragraph" w:customStyle="1" w:styleId="Contrato-Clausula-Nvel1">
    <w:name w:val="Contrato - Clausula - Nível 1"/>
    <w:basedOn w:val="Contrato-Clausula-Nvel2"/>
    <w:next w:val="Normal"/>
    <w:qFormat/>
    <w:rsid w:val="00335228"/>
    <w:pPr>
      <w:keepNext/>
      <w:numPr>
        <w:ilvl w:val="0"/>
      </w:numPr>
      <w:spacing w:after="600"/>
      <w:ind w:left="142" w:hanging="142"/>
      <w:jc w:val="center"/>
    </w:pPr>
    <w:rPr>
      <w:b/>
      <w:caps/>
    </w:rPr>
  </w:style>
  <w:style w:type="paragraph" w:customStyle="1" w:styleId="Contrato-Clausula-Nvel2">
    <w:name w:val="Contrato - Clausula - Nível 2"/>
    <w:basedOn w:val="Normal"/>
    <w:qFormat/>
    <w:rsid w:val="00335228"/>
    <w:pPr>
      <w:numPr>
        <w:ilvl w:val="1"/>
        <w:numId w:val="4"/>
      </w:numPr>
      <w:spacing w:before="200" w:after="200"/>
      <w:ind w:left="426" w:hanging="426"/>
      <w:jc w:val="both"/>
    </w:pPr>
    <w:rPr>
      <w:rFonts w:ascii="Arial" w:hAnsi="Arial"/>
      <w:sz w:val="22"/>
    </w:rPr>
  </w:style>
  <w:style w:type="paragraph" w:customStyle="1" w:styleId="Contrato-Clausula-Nvel3">
    <w:name w:val="Contrato - Clausula - Nível 3"/>
    <w:basedOn w:val="Contrato-Clausula-Nvel2"/>
    <w:qFormat/>
    <w:rsid w:val="00335228"/>
    <w:pPr>
      <w:numPr>
        <w:ilvl w:val="2"/>
      </w:numPr>
      <w:ind w:left="1134" w:hanging="708"/>
    </w:pPr>
  </w:style>
  <w:style w:type="paragraph" w:customStyle="1" w:styleId="Contrato-Clausula-Nvel4">
    <w:name w:val="Contrato - Clausula - Nível 4"/>
    <w:basedOn w:val="Contrato-Clausula-Nvel3"/>
    <w:qFormat/>
    <w:rsid w:val="00335228"/>
    <w:pPr>
      <w:numPr>
        <w:ilvl w:val="3"/>
      </w:numPr>
      <w:ind w:left="2127"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562534">
      <w:bodyDiv w:val="1"/>
      <w:marLeft w:val="0"/>
      <w:marRight w:val="0"/>
      <w:marTop w:val="0"/>
      <w:marBottom w:val="0"/>
      <w:divBdr>
        <w:top w:val="none" w:sz="0" w:space="0" w:color="auto"/>
        <w:left w:val="none" w:sz="0" w:space="0" w:color="auto"/>
        <w:bottom w:val="none" w:sz="0" w:space="0" w:color="auto"/>
        <w:right w:val="none" w:sz="0" w:space="0" w:color="auto"/>
      </w:divBdr>
    </w:div>
    <w:div w:id="107224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adas@anp.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5BDA5-403D-4538-B9CF-FB9B9C968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3625</Words>
  <Characters>19581</Characters>
  <Application>Microsoft Office Word</Application>
  <DocSecurity>0</DocSecurity>
  <Lines>163</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ANP</Company>
  <LinksUpToDate>false</LinksUpToDate>
  <CharactersWithSpaces>23160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Ana Lúcia</cp:lastModifiedBy>
  <cp:revision>2</cp:revision>
  <cp:lastPrinted>2013-01-24T15:49:00Z</cp:lastPrinted>
  <dcterms:created xsi:type="dcterms:W3CDTF">2017-12-18T22:24:00Z</dcterms:created>
  <dcterms:modified xsi:type="dcterms:W3CDTF">2017-12-18T22:24:00Z</dcterms:modified>
</cp:coreProperties>
</file>